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3.3 Trust Computation Application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 xml:space="preserve">In trust computation, cumulative fusion corresponds to aggregating multiple direct interactions or reputation reports. If agent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 xml:space="preserve"> has observed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 xml:space="preserve"> interactions with agent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, producing evidence for trustworthy behavior, the cumulative trust belief is:</w:t>
      </w:r>
    </w:p>
    <w:p>
      <w:pPr>
        <w:spacing w:before="240" w:after="240"/>
        <w:jc w:val="center"/>
      </w:pPr>
      <m:oMathPara>
        <m:oMath>
          <m:sSub>
            <m:sSubPr>
              <m:ctrlPr/>
            </m:sSubPr>
            <m:e>
              <m:r>
                <m:rPr/>
                <w:rPr>
                  <w:rFonts w:ascii="Cambria Math" w:hAnsi="Cambria Math"/>
                  <w:sz w:val="24"/>
                </w:rPr>
                <m:t>Bel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trust</m:t>
              </m:r>
            </m:sub>
          </m:sSub>
          <m:r>
            <m:rPr/>
            <w:rPr>
              <w:rFonts w:ascii="Cambria Math" w:hAnsi="Cambria Math"/>
              <w:sz w:val="24"/>
            </w:rPr>
            <m:t>(</m:t>
          </m:r>
          <m:r>
            <m:rPr/>
            <w:rPr>
              <w:rFonts w:ascii="Cambria Math" w:hAnsi="Cambria Math"/>
              <w:sz w:val="24"/>
            </w:rPr>
            <m:t>T</m:t>
          </m:r>
          <m:r>
            <m:rPr/>
            <w:rPr>
              <w:rFonts w:ascii="Cambria Math" w:hAnsi="Cambria Math"/>
              <w:sz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</w:rPr>
            <m:t> = </m:t>
          </m:r>
          <m:nary>
            <m:naryPr>
              <m:chr m:val="∑"/>
              <m:grow m:val="1"/>
              <m:limLoc m:val="undOvr"/>
              <m:supHide m:val="1"/>
              <m:ctrlPr/>
            </m:naryPr>
            <m:sub>
              <m:eqArr>
                <m:eqArrPr>
                  <m:ctrlPr/>
                </m:eqArr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A⊆Θ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A⊨T</m:t>
                  </m:r>
                </m:e>
              </m:eqArr>
            </m:sub>
            <m:sup/>
            <m:e>
              <m:sSub>
                <m:sSubPr>
                  <m:ctrlPr/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1⊕⋯⊕n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(</m:t>
              </m:r>
              <m:r>
                <m:rPr/>
                <w:rPr>
                  <w:rFonts w:ascii="Cambria Math" w:hAnsi="Cambria Math"/>
                  <w:sz w:val="24"/>
                </w:rPr>
                <m:t>A</m:t>
              </m:r>
              <m:r>
                <m:rPr/>
                <w:rPr>
                  <w:rFonts w:ascii="Cambria Math" w:hAnsi="Cambria Math"/>
                  <w:sz w:val="24"/>
                </w:rPr>
                <m:t>)</m:t>
              </m:r>
            </m:e>
          </m:nary>
        </m:oMath>
      </m:oMathPara>
    </w:p>
    <w:p>
      <w:pPr>
        <w:spacing w:before="120" w:line="360" w:lineRule="exact"/>
      </w:pPr>
      <w:r>
        <w:rPr>
          <w:rFonts w:ascii="Times New Roman" w:hAnsi="Times New Roman"/>
          <w:sz w:val="24"/>
        </w:rPr>
        <w:t xml:space="preserve">where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 xml:space="preserve"> represents the proposition "agent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 xml:space="preserve"> is trustworthy."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