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Malgun Gothic" w:cs="Malgun Gothic" w:eastAsia="Malgun Gothic" w:hAnsi="Malgun Gothic"/>
          <w:b/>
          <w:bCs/>
          <w:color w:val="1A1A1A"/>
          <w:sz w:val="34"/>
          <w:szCs w:val="34"/>
        </w:rPr>
        <w:t xml:space="preserve">설비 이상 진단 보고서</w:t>
      </w:r>
    </w:p>
    <w:p>
      <w:pPr>
        <w:pBdr>
          <w:bottom w:val="single" w:color="1A1A1A" w:sz="12" w:space="6"/>
        </w:pBdr>
        <w:spacing w:after="300"/>
        <w:jc w:val="center"/>
      </w:pPr>
      <w:r>
        <w:rPr>
          <w:rFonts w:ascii="Malgun Gothic" w:cs="Malgun Gothic" w:eastAsia="Malgun Gothic" w:hAnsi="Malgun Gothic"/>
          <w:color w:val="666666"/>
          <w:sz w:val="18"/>
          <w:szCs w:val="18"/>
        </w:rPr>
        <w:t xml:space="preserve">EQUIPMENT FAULT DIAGNOSIS REPORT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2888"/>
        <w:gridCol w:w="1625"/>
        <w:gridCol w:w="2888"/>
      </w:tblGrid>
      <w:tr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문서번호</w:t>
            </w:r>
          </w:p>
        </w:tc>
        <w:tc>
          <w:tcPr>
            <w:tcW w:type="dxa" w:w="288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{{DOC_NO}}</w:t>
            </w:r>
          </w:p>
        </w:tc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작성일시</w:t>
            </w:r>
          </w:p>
        </w:tc>
        <w:tc>
          <w:tcPr>
            <w:tcW w:type="dxa" w:w="288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{{ISSUED_AT}}</w:t>
            </w:r>
          </w:p>
        </w:tc>
      </w:tr>
      <w:tr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설비 ID</w:t>
            </w:r>
          </w:p>
        </w:tc>
        <w:tc>
          <w:tcPr>
            <w:tcW w:type="dxa" w:w="288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{{EQUIPMENT_ID}}</w:t>
            </w:r>
          </w:p>
        </w:tc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설비명</w:t>
            </w:r>
          </w:p>
        </w:tc>
        <w:tc>
          <w:tcPr>
            <w:tcW w:type="dxa" w:w="288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{{EQUIPMENT_NAME}}</w:t>
            </w:r>
          </w:p>
        </w:tc>
      </w:tr>
      <w:tr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설치 위치</w:t>
            </w:r>
          </w:p>
        </w:tc>
        <w:tc>
          <w:tcPr>
            <w:tcW w:type="dxa" w:w="288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{{LOCATION}}</w:t>
            </w:r>
          </w:p>
        </w:tc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담당 정비사</w:t>
            </w:r>
          </w:p>
        </w:tc>
        <w:tc>
          <w:tcPr>
            <w:tcW w:type="dxa" w:w="288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{{TECHNICIAN_NAME}}</w:t>
            </w:r>
          </w:p>
        </w:tc>
      </w:tr>
      <w:tr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추적 ID</w:t>
            </w:r>
          </w:p>
        </w:tc>
        <w:tc>
          <w:tcPr>
            <w:tcW w:type="dxa" w:w="288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{{REQUEST_CHAIN_ID}}</w:t>
            </w:r>
          </w:p>
        </w:tc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 세션</w:t>
            </w:r>
          </w:p>
        </w:tc>
        <w:tc>
          <w:tcPr>
            <w:tcW w:type="dxa" w:w="288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{{TRACE_ID}}</w:t>
            </w:r>
          </w:p>
        </w:tc>
      </w:tr>
    </w:tbl>
    <w:p>
      <w:pPr>
        <w:pBdr>
          <w:bottom w:val="single" w:color="BFBFBF" w:sz="6" w:space="4"/>
        </w:pBdr>
        <w:spacing w:after="120" w:before="300"/>
      </w:pPr>
      <w:r>
        <w:rPr>
          <w:rFonts w:ascii="Malgun Gothic" w:cs="Malgun Gothic" w:eastAsia="Malgun Gothic" w:hAnsi="Malgun Gothic"/>
          <w:b/>
          <w:bCs/>
          <w:color w:val="1A1A1A"/>
          <w:sz w:val="22"/>
          <w:szCs w:val="22"/>
        </w:rPr>
        <w:t xml:space="preserve">1. 이상 감지 내역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1264"/>
        <w:gridCol w:w="4513"/>
        <w:gridCol w:w="1805"/>
      </w:tblGrid>
      <w:tr>
        <w:trPr>
          <w:tblHeader/>
        </w:trPr>
        <w:tc>
          <w:tcPr>
            <w:tcW w:type="dxa" w:w="1444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감지 시각</w:t>
            </w:r>
          </w:p>
        </w:tc>
        <w:tc>
          <w:tcPr>
            <w:tcW w:type="dxa" w:w="1264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에러코드</w:t>
            </w:r>
          </w:p>
        </w:tc>
        <w:tc>
          <w:tcPr>
            <w:tcW w:type="dxa" w:w="4513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증상 요약</w:t>
            </w:r>
          </w:p>
        </w:tc>
        <w:tc>
          <w:tcPr>
            <w:tcW w:type="dxa" w:w="180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심각도</w:t>
            </w:r>
          </w:p>
        </w:tc>
      </w:tr>
      <w:tr>
        <w:tc>
          <w:tcPr>
            <w:tcW w:type="dxa" w:w="1444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{{DETECTED_AT}}</w:t>
            </w:r>
          </w:p>
        </w:tc>
        <w:tc>
          <w:tcPr>
            <w:tcW w:type="dxa" w:w="1264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{{ERROR_CODE}}</w:t>
            </w:r>
          </w:p>
        </w:tc>
        <w:tc>
          <w:tcPr>
            <w:tcW w:type="dxa" w:w="4513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{{SYMPTOM_SUMMARY}}</w:t>
            </w:r>
          </w:p>
        </w:tc>
        <w:tc>
          <w:tcPr>
            <w:tcW w:type="dxa" w:w="1805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{{SEVERITY}}</w:t>
            </w:r>
          </w:p>
        </w:tc>
      </w:tr>
      <w:tr>
        <w:tc>
          <w:tcPr>
            <w:tcW w:type="dxa" w:w="1444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{{DETECTED_AT_2}}</w:t>
            </w:r>
          </w:p>
        </w:tc>
        <w:tc>
          <w:tcPr>
            <w:tcW w:type="dxa" w:w="1264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{{ERROR_CODE_2}}</w:t>
            </w:r>
          </w:p>
        </w:tc>
        <w:tc>
          <w:tcPr>
            <w:tcW w:type="dxa" w:w="4513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{{SYMPTOM_SUMMARY_2}}</w:t>
            </w:r>
          </w:p>
        </w:tc>
        <w:tc>
          <w:tcPr>
            <w:tcW w:type="dxa" w:w="1805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{{SEVERITY_2}}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c>
          <w:tcPr>
            <w:tcW w:type="dxa" w:w="2166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반복 고장 여부</w:t>
            </w:r>
          </w:p>
        </w:tc>
        <w:tc>
          <w:tcPr>
            <w:tcW w:type="dxa" w:w="6860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{{REPEAT_FAULT_FLAG}}  (최근 30일 내 동일 코드 {{REPEAT_COUNT}}회)</w:t>
            </w:r>
          </w:p>
        </w:tc>
      </w:tr>
      <w:tr>
        <w:tc>
          <w:tcPr>
            <w:tcW w:type="dxa" w:w="2166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근본원인 점검 전환</w:t>
            </w:r>
          </w:p>
        </w:tc>
        <w:tc>
          <w:tcPr>
            <w:tcW w:type="dxa" w:w="6860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{{ROOT_CAUSE_MODE}}</w:t>
            </w:r>
          </w:p>
        </w:tc>
      </w:tr>
    </w:tbl>
    <w:p>
      <w:pPr>
        <w:pBdr>
          <w:bottom w:val="single" w:color="BFBFBF" w:sz="6" w:space="4"/>
        </w:pBdr>
        <w:spacing w:after="120" w:before="300"/>
      </w:pPr>
      <w:r>
        <w:rPr>
          <w:rFonts w:ascii="Malgun Gothic" w:cs="Malgun Gothic" w:eastAsia="Malgun Gothic" w:hAnsi="Malgun Gothic"/>
          <w:b/>
          <w:bCs/>
          <w:color w:val="1A1A1A"/>
          <w:sz w:val="22"/>
          <w:szCs w:val="22"/>
        </w:rPr>
        <w:t xml:space="preserve">2. 진단 결과 및 근거</w:t>
      </w:r>
    </w:p>
    <w:p>
      <w:pPr>
        <w:spacing w:after="60" w:before="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19"/>
          <w:szCs w:val="19"/>
        </w:rPr>
        <w:t xml:space="preserve">진단 결론</w:t>
      </w:r>
    </w:p>
    <w:p>
      <w:pPr>
        <w:spacing w:after="16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{{DIAGNOSIS_CONCLUSION}}</w:t>
      </w:r>
    </w:p>
    <w:p>
      <w:pPr>
        <w:spacing w:after="60" w:before="0"/>
        <w:jc w:val="left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19"/>
          <w:szCs w:val="19"/>
        </w:rPr>
        <w:t xml:space="preserve">근거 자료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2166"/>
        <w:gridCol w:w="1444"/>
        <w:gridCol w:w="3972"/>
      </w:tblGrid>
      <w:tr>
        <w:trPr>
          <w:tblHeader/>
        </w:trPr>
        <w:tc>
          <w:tcPr>
            <w:tcW w:type="dxa" w:w="1444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근거 유형</w:t>
            </w:r>
          </w:p>
        </w:tc>
        <w:tc>
          <w:tcPr>
            <w:tcW w:type="dxa" w:w="2166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출처</w:t>
            </w:r>
          </w:p>
        </w:tc>
        <w:tc>
          <w:tcPr>
            <w:tcW w:type="dxa" w:w="1444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해당 위치</w:t>
            </w:r>
          </w:p>
        </w:tc>
        <w:tc>
          <w:tcPr>
            <w:tcW w:type="dxa" w:w="3972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인용</w:t>
            </w:r>
          </w:p>
        </w:tc>
      </w:tr>
      <w:tr>
        <w:tc>
          <w:tcPr>
            <w:tcW w:type="dxa" w:w="1444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{{EVIDENCE_TYPE_1}}</w:t>
            </w:r>
          </w:p>
        </w:tc>
        <w:tc>
          <w:tcPr>
            <w:tcW w:type="dxa" w:w="2166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{{EVIDENCE_SOURCE_1}}</w:t>
            </w:r>
          </w:p>
        </w:tc>
        <w:tc>
          <w:tcPr>
            <w:tcW w:type="dxa" w:w="1444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{{EVIDENCE_LOC_1}}</w:t>
            </w:r>
          </w:p>
        </w:tc>
        <w:tc>
          <w:tcPr>
            <w:tcW w:type="dxa" w:w="3972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{{EVIDENCE_QUOTE_1}}</w:t>
            </w:r>
          </w:p>
        </w:tc>
      </w:tr>
      <w:tr>
        <w:tc>
          <w:tcPr>
            <w:tcW w:type="dxa" w:w="1444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{{EVIDENCE_TYPE_2}}</w:t>
            </w:r>
          </w:p>
        </w:tc>
        <w:tc>
          <w:tcPr>
            <w:tcW w:type="dxa" w:w="2166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{{EVIDENCE_SOURCE_2}}</w:t>
            </w:r>
          </w:p>
        </w:tc>
        <w:tc>
          <w:tcPr>
            <w:tcW w:type="dxa" w:w="1444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{{EVIDENCE_LOC_2}}</w:t>
            </w:r>
          </w:p>
        </w:tc>
        <w:tc>
          <w:tcPr>
            <w:tcW w:type="dxa" w:w="3972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{{EVIDENCE_QUOTE_2}}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gridSpan w:val="1"/>
            <w:shd w:fill="FFFBF0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※ 근거가 확보되지 않은 항목은 「확인 불가」로 표기하며, 추정으로 채우지 않습니다.</w:t>
            </w:r>
          </w:p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※ 근거 인용은 진단 시점의 문서 해시와 대조되어 기록됩니다.</w:t>
            </w:r>
          </w:p>
        </w:tc>
      </w:tr>
    </w:tbl>
    <w:p>
      <w:pPr>
        <w:pBdr>
          <w:bottom w:val="single" w:color="BFBFBF" w:sz="6" w:space="4"/>
        </w:pBdr>
        <w:spacing w:after="120" w:before="300"/>
      </w:pPr>
      <w:r>
        <w:rPr>
          <w:rFonts w:ascii="Malgun Gothic" w:cs="Malgun Gothic" w:eastAsia="Malgun Gothic" w:hAnsi="Malgun Gothic"/>
          <w:b/>
          <w:bCs/>
          <w:color w:val="1A1A1A"/>
          <w:sz w:val="22"/>
          <w:szCs w:val="22"/>
        </w:rPr>
        <w:t xml:space="preserve">3. 안전 경고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c>
          <w:tcPr>
            <w:tcW w:type="dxa" w:w="2166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위험 작업 해당</w:t>
            </w:r>
          </w:p>
        </w:tc>
        <w:tc>
          <w:tcPr>
            <w:tcW w:type="dxa" w:w="6860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{{SAFETY_FLAG}}</w:t>
            </w:r>
          </w:p>
        </w:tc>
      </w:tr>
      <w:tr>
        <w:tc>
          <w:tcPr>
            <w:tcW w:type="dxa" w:w="2166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경고 내용</w:t>
            </w:r>
          </w:p>
        </w:tc>
        <w:tc>
          <w:tcPr>
            <w:tcW w:type="dxa" w:w="6860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{{SAFETY_WARNING}}</w:t>
            </w:r>
          </w:p>
        </w:tc>
      </w:tr>
      <w:tr>
        <w:tc>
          <w:tcPr>
            <w:tcW w:type="dxa" w:w="2166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필수 선행 조치</w:t>
            </w:r>
          </w:p>
        </w:tc>
        <w:tc>
          <w:tcPr>
            <w:tcW w:type="dxa" w:w="6860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{{SAFETY_PRECONDITION}}</w:t>
            </w:r>
          </w:p>
        </w:tc>
      </w:tr>
    </w:tbl>
    <w:p>
      <w:pPr>
        <w:pBdr>
          <w:bottom w:val="single" w:color="BFBFBF" w:sz="6" w:space="4"/>
        </w:pBdr>
        <w:spacing w:after="120" w:before="300"/>
      </w:pPr>
      <w:r>
        <w:rPr>
          <w:rFonts w:ascii="Malgun Gothic" w:cs="Malgun Gothic" w:eastAsia="Malgun Gothic" w:hAnsi="Malgun Gothic"/>
          <w:b/>
          <w:bCs/>
          <w:color w:val="1A1A1A"/>
          <w:sz w:val="22"/>
          <w:szCs w:val="22"/>
        </w:rPr>
        <w:t xml:space="preserve">4. 조치 권고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4152"/>
        <w:gridCol w:w="1444"/>
        <w:gridCol w:w="2166"/>
      </w:tblGrid>
      <w:tr>
        <w:trPr>
          <w:tblHeader/>
        </w:trPr>
        <w:tc>
          <w:tcPr>
            <w:tcW w:type="dxa" w:w="1264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구분</w:t>
            </w:r>
          </w:p>
        </w:tc>
        <w:tc>
          <w:tcPr>
            <w:tcW w:type="dxa" w:w="4152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권고 내용</w:t>
            </w:r>
          </w:p>
        </w:tc>
        <w:tc>
          <w:tcPr>
            <w:tcW w:type="dxa" w:w="1444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예상 소요</w:t>
            </w:r>
          </w:p>
        </w:tc>
        <w:tc>
          <w:tcPr>
            <w:tcW w:type="dxa" w:w="2166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예상 비용(원)</w:t>
            </w:r>
          </w:p>
        </w:tc>
      </w:tr>
      <w:tr>
        <w:tc>
          <w:tcPr>
            <w:tcW w:type="dxa" w:w="1264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{{ACTION_TYPE_1}}</w:t>
            </w:r>
          </w:p>
        </w:tc>
        <w:tc>
          <w:tcPr>
            <w:tcW w:type="dxa" w:w="4152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{{ACTION_DESC_1}}</w:t>
            </w:r>
          </w:p>
        </w:tc>
        <w:tc>
          <w:tcPr>
            <w:tcW w:type="dxa" w:w="1444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{{ACTION_DURATION_1}}</w:t>
            </w:r>
          </w:p>
        </w:tc>
        <w:tc>
          <w:tcPr>
            <w:tcW w:type="dxa" w:w="2166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{{ACTION_COST_1}}</w:t>
            </w:r>
          </w:p>
        </w:tc>
      </w:tr>
      <w:tr>
        <w:tc>
          <w:tcPr>
            <w:tcW w:type="dxa" w:w="1264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{{ACTION_TYPE_2}}</w:t>
            </w:r>
          </w:p>
        </w:tc>
        <w:tc>
          <w:tcPr>
            <w:tcW w:type="dxa" w:w="4152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{{ACTION_DESC_2}}</w:t>
            </w:r>
          </w:p>
        </w:tc>
        <w:tc>
          <w:tcPr>
            <w:tcW w:type="dxa" w:w="1444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{{ACTION_DURATION_2}}</w:t>
            </w:r>
          </w:p>
        </w:tc>
        <w:tc>
          <w:tcPr>
            <w:tcW w:type="dxa" w:w="2166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{{ACTION_COST_2}}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c>
          <w:tcPr>
            <w:tcW w:type="dxa" w:w="2166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판정 (수리/교체/매각)</w:t>
            </w:r>
          </w:p>
        </w:tc>
        <w:tc>
          <w:tcPr>
            <w:tcW w:type="dxa" w:w="6860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{{REPAIR_REPLACE_VERDICT}}</w:t>
            </w:r>
          </w:p>
        </w:tc>
      </w:tr>
      <w:tr>
        <w:tc>
          <w:tcPr>
            <w:tcW w:type="dxa" w:w="2166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판정 근거</w:t>
            </w:r>
          </w:p>
        </w:tc>
        <w:tc>
          <w:tcPr>
            <w:tcW w:type="dxa" w:w="6860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{{VERDICT_RATIONALE}}</w:t>
            </w:r>
          </w:p>
        </w:tc>
      </w:tr>
    </w:tbl>
    <w:p>
      <w:pPr>
        <w:pBdr>
          <w:bottom w:val="single" w:color="BFBFBF" w:sz="6" w:space="4"/>
        </w:pBdr>
        <w:spacing w:after="120" w:before="300"/>
      </w:pPr>
      <w:r>
        <w:rPr>
          <w:rFonts w:ascii="Malgun Gothic" w:cs="Malgun Gothic" w:eastAsia="Malgun Gothic" w:hAnsi="Malgun Gothic"/>
          <w:b/>
          <w:bCs/>
          <w:color w:val="1A1A1A"/>
          <w:sz w:val="22"/>
          <w:szCs w:val="22"/>
        </w:rPr>
        <w:t xml:space="preserve">5. 확인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작성 (정비사)</w:t>
            </w:r>
          </w:p>
        </w:tc>
        <w:tc>
          <w:tcPr>
            <w:tcW w:type="dxa" w:w="4513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검토 (정비팀장)</w:t>
            </w:r>
          </w:p>
        </w:tc>
      </w:tr>
      <w:tr>
        <w:trPr>
          <w:trHeight w:val="1100" w:hRule="atLeast"/>
        </w:trPr>
        <w:tc>
          <w:tcPr>
            <w:tcW w:type="dxa" w:w="4513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{{TECHNICIAN_NAME}}</w:t>
            </w:r>
          </w:p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{{TECHNICIAN_SIGNED_AT}}</w:t>
            </w:r>
          </w:p>
        </w:tc>
        <w:tc>
          <w:tcPr>
            <w:tcW w:type="dxa" w:w="4513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{{MANAGER_NAME}}</w:t>
            </w:r>
          </w:p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{{MANAGER_SIGNED_AT}}</w:t>
            </w:r>
          </w:p>
        </w:tc>
      </w:tr>
    </w:tbl>
    <w:p>
      <w:pPr>
        <w:spacing w:after="1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gridSpan w:val="1"/>
            <w:shd w:fill="FFFBF0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본 보고서는 AI 에이전트가 근거를 수집·정리하여 작성한 초안이며, 최종 확인과 서명은 사람이 수행합니다.</w:t>
            </w:r>
          </w:p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문서 상태: {{DOC_STATUS}}   |   생성 시스템: MaintQ   |   서명 시점 해시: {{SIGNATURE_HASH}}</w:t>
            </w:r>
          </w:p>
        </w:tc>
      </w:tr>
    </w:tbl>
    <w:sectPr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2026-08-23T15:41:31.934Z</dcterms:created>
  <dcterms:modified xsi:type="dcterms:W3CDTF">2026-08-23T15:41:31.946Z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