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METRIC DATA DICTIONARY</w:t>
      </w:r>
    </w:p>
    <w:p>
      <w:pPr>
        <w:spacing w:after="280"/>
      </w:pPr>
      <w:r>
        <w:rPr>
          <w:rFonts w:ascii="Calibri" w:hAnsi="Calibri"/>
          <w:color w:val="4B5563"/>
          <w:sz w:val="26"/>
        </w:rPr>
        <w:t>MTR-09 Gross Merchandise Value (GMV) | Mosaic Retail Analytics</w:t>
      </w:r>
    </w:p>
    <w:p>
      <w:pPr>
        <w:spacing w:after="40"/>
      </w:pPr>
      <w:r>
        <w:rPr>
          <w:rFonts w:ascii="Calibri" w:hAnsi="Calibri"/>
          <w:b/>
          <w:color w:val="1F4D78"/>
          <w:sz w:val="20"/>
        </w:rPr>
        <w:t xml:space="preserve">Owner: </w:t>
      </w:r>
      <w:r>
        <w:rPr>
          <w:rFonts w:ascii="Calibri" w:hAnsi="Calibri"/>
          <w:sz w:val="20"/>
        </w:rPr>
        <w:t>BI &amp; Data Analytics</w:t>
      </w:r>
    </w:p>
    <w:p>
      <w:pPr>
        <w:spacing w:after="40"/>
      </w:pPr>
      <w:r>
        <w:rPr>
          <w:rFonts w:ascii="Calibri" w:hAnsi="Calibri"/>
          <w:b/>
          <w:color w:val="1F4D78"/>
          <w:sz w:val="20"/>
        </w:rPr>
        <w:t xml:space="preserve">As of: </w:t>
      </w:r>
      <w:r>
        <w:rPr>
          <w:rFonts w:ascii="Calibri" w:hAnsi="Calibri"/>
          <w:sz w:val="20"/>
        </w:rPr>
        <w:t>2026-07-13</w:t>
      </w:r>
    </w:p>
    <w:p>
      <w:pPr>
        <w:spacing w:after="40"/>
      </w:pPr>
      <w:r>
        <w:rPr>
          <w:rFonts w:ascii="Calibri" w:hAnsi="Calibri"/>
          <w:b/>
          <w:color w:val="1F4D78"/>
          <w:sz w:val="20"/>
        </w:rPr>
        <w:t xml:space="preserve">Reporting period: </w:t>
      </w:r>
      <w:r>
        <w:rPr>
          <w:rFonts w:ascii="Calibri" w:hAnsi="Calibri"/>
          <w:sz w:val="20"/>
        </w:rPr>
        <w:t>FY26 Q3</w:t>
      </w:r>
    </w:p>
    <w:p>
      <w:pPr>
        <w:spacing w:after="40"/>
      </w:pPr>
      <w:r>
        <w:rPr>
          <w:rFonts w:ascii="Calibri" w:hAnsi="Calibri"/>
          <w:b/>
          <w:color w:val="1F4D78"/>
          <w:sz w:val="20"/>
        </w:rPr>
        <w:t xml:space="preserve">Status: </w:t>
      </w:r>
      <w:r>
        <w:rPr>
          <w:rFonts w:ascii="Calibri" w:hAnsi="Calibri"/>
          <w:sz w:val="20"/>
        </w:rPr>
        <w:t>Approved operational definition</w:t>
      </w:r>
    </w:p>
    <w:p>
      <w:pPr>
        <w:pStyle w:val="Heading1"/>
      </w:pPr>
      <w:r>
        <w:t>Executive definition</w:t>
      </w:r>
    </w:p>
    <w:p>
      <w:r>
        <w:rPr>
          <w:b/>
        </w:rPr>
        <w:t>metric MTR-09</w:t>
      </w:r>
      <w:r>
        <w:t xml:space="preserve"> measures completed order-line value less approved discounts and refunds, reported in Japanese yen. The FY26 Q3 management snapshot is </w:t>
      </w:r>
      <w:r>
        <w:rPr>
          <w:b/>
        </w:rPr>
        <w:t>GMV ¥84.2M</w:t>
      </w:r>
      <w:r>
        <w:t xml:space="preserve"> (numeric control value: ¥84,200,000).</w:t>
      </w:r>
    </w:p>
    <w:p>
      <w:pPr>
        <w:pStyle w:val="Heading2"/>
      </w:pPr>
      <w:r>
        <w:t>Metric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Attribute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Approved value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Business name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Gross Merchandise Value (GMV)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Metric ID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MTR-09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Grain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One completed order line, net of approved discount and refund events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Aggregation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SUM(net_line_value_jpy) across eligible order lines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Currency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JPY; whole-yen reporting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Refresh cadence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Daily warehouse load; weekly business review</w:t>
            </w:r>
          </w:p>
        </w:tc>
      </w:tr>
    </w:tbl>
    <w:p>
      <w:pPr>
        <w:pStyle w:val="Heading2"/>
      </w:pPr>
      <w:r>
        <w:t>Inclusion and exclusion rules</w:t>
      </w:r>
    </w:p>
    <w:p>
      <w:pPr>
        <w:pStyle w:val="ListBullet"/>
      </w:pPr>
      <w:r>
        <w:t>Include settled marketplace and direct-channel order lines with a completed fulfillment status.</w:t>
      </w:r>
    </w:p>
    <w:p>
      <w:pPr>
        <w:pStyle w:val="ListBullet"/>
      </w:pPr>
      <w:r>
        <w:t>Exclude cancelled, test, fraudulent, and tax-only lines before aggregation.</w:t>
      </w:r>
    </w:p>
    <w:p>
      <w:pPr>
        <w:pStyle w:val="ListBullet"/>
      </w:pPr>
      <w:r>
        <w:t>Record refunds as negative adjustments in the originating order-line grain; do not double count a replacement order.</w:t>
      </w:r>
    </w:p>
    <w:p>
      <w:r>
        <w:br w:type="page"/>
      </w:r>
    </w:p>
    <w:p>
      <w:pPr>
        <w:pStyle w:val="Heading1"/>
      </w:pPr>
      <w:r>
        <w:t>Dimensions and controlled vocabulary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Dimension</w:t>
            </w:r>
          </w:p>
        </w:tc>
        <w:tc>
          <w:tcPr>
            <w:tcW w:type="dxa" w:w="405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Definition</w:t>
            </w:r>
          </w:p>
        </w:tc>
        <w:tc>
          <w:tcPr>
            <w:tcW w:type="dxa" w:w="341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Allowed examples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channel</w:t>
            </w:r>
          </w:p>
        </w:tc>
        <w:tc>
          <w:tcPr>
            <w:tcW w:type="dxa" w:w="40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Customer purchase channel</w:t>
            </w:r>
          </w:p>
        </w:tc>
        <w:tc>
          <w:tcPr>
            <w:tcW w:type="dxa" w:w="34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Marketplace, Direct, Partner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region</w:t>
            </w:r>
          </w:p>
        </w:tc>
        <w:tc>
          <w:tcPr>
            <w:tcW w:type="dxa" w:w="40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Commercial reporting region</w:t>
            </w:r>
          </w:p>
        </w:tc>
        <w:tc>
          <w:tcPr>
            <w:tcW w:type="dxa" w:w="34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Kanto, Kansai, Chubu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40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Merchandise taxonomy level 1</w:t>
            </w:r>
          </w:p>
        </w:tc>
        <w:tc>
          <w:tcPr>
            <w:tcW w:type="dxa" w:w="34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Home, Beauty, Electronics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fulfillment_status</w:t>
            </w:r>
          </w:p>
        </w:tc>
        <w:tc>
          <w:tcPr>
            <w:tcW w:type="dxa" w:w="40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Order lifecycle condition</w:t>
            </w:r>
          </w:p>
        </w:tc>
        <w:tc>
          <w:tcPr>
            <w:tcW w:type="dxa" w:w="34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completed, returned, cancelled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currency_code</w:t>
            </w:r>
          </w:p>
        </w:tc>
        <w:tc>
          <w:tcPr>
            <w:tcW w:type="dxa" w:w="40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Source transaction currency</w:t>
            </w:r>
          </w:p>
        </w:tc>
        <w:tc>
          <w:tcPr>
            <w:tcW w:type="dxa" w:w="34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JPY; normalized to JPY before reporting</w:t>
            </w:r>
          </w:p>
        </w:tc>
      </w:tr>
    </w:tbl>
    <w:p>
      <w:r>
        <w:t>Bilingual terminology: GMV / ryutsu sogaku; completed order / kanryo chumon; order line / chumon meisai; refund / henkin; dimension / dimenshon.</w:t>
      </w:r>
    </w:p>
    <w:p>
      <w:pPr>
        <w:pStyle w:val="Heading2"/>
      </w:pPr>
      <w:r>
        <w:t>Data-quality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Control</w:t>
            </w:r>
          </w:p>
        </w:tc>
        <w:tc>
          <w:tcPr>
            <w:tcW w:type="dxa" w:w="220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Threshold</w:t>
            </w:r>
          </w:p>
        </w:tc>
        <w:tc>
          <w:tcPr>
            <w:tcW w:type="dxa" w:w="4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Response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Completeness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≥ 99.5% non-null line value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Hold dashboard refresh and notify warehouse owner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Freshness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Load by 08:00 JST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Flag weekly review as provisional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Reconciliation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±0.5% versus finance settlement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 variance investigation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Uniqueness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 duplicate order_line_id</w:t>
            </w:r>
          </w:p>
        </w:tc>
        <w:tc>
          <w:tcPr>
            <w:tcW w:type="dxa" w:w="4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Quarantine duplicate rows</w:t>
            </w:r>
          </w:p>
        </w:tc>
      </w:tr>
    </w:tbl>
    <w:p>
      <w:pPr>
        <w:pStyle w:val="Heading2"/>
      </w:pPr>
      <w:r>
        <w:t>Ownership and change process</w:t>
      </w:r>
    </w:p>
    <w:p>
      <w:r>
        <w:t>The BI Metrics Steward owns semantic definitions; Warehouse Engineering owns source lineage; Finance Operations approves material policy changes. Submit a definition request with business rationale, proposed wording, downstream dashboard impact, and effective date. Version changes are reviewed in the weekly metric-review forum.</w:t>
      </w:r>
    </w:p>
    <w:p>
      <w:pPr>
        <w:pStyle w:val="Heading2"/>
      </w:pPr>
      <w:r>
        <w:t>Reader checklist</w:t>
      </w:r>
    </w:p>
    <w:p>
      <w:pPr>
        <w:pStyle w:val="ListBullet"/>
      </w:pPr>
      <w:r>
        <w:t>Use MTR-09 only at the documented order-line grain.</w:t>
      </w:r>
    </w:p>
    <w:p>
      <w:pPr>
        <w:pStyle w:val="ListBullet"/>
      </w:pPr>
      <w:r>
        <w:t>Show FY26 Q3 and as-of date beside executive-facing values.</w:t>
      </w:r>
    </w:p>
    <w:p>
      <w:pPr>
        <w:pStyle w:val="ListBullet"/>
      </w:pPr>
      <w:r>
        <w:t>Reconcile to the data-quality workbook before publishing an exception.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7"/>
      </w:rPr>
      <w:t>Internal synthetic reference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Mosaic Retail Analytics | Metric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MTR-09 Metric Data Dictionary</dc:title>
  <dc:subject/>
  <dc:creator>Mosaic Retail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