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b/>
          <w:color w:val="0B2545"/>
          <w:sz w:val="48"/>
        </w:rPr>
        <w:t>METRIC GOVERNANCE HANDBOOK</w:t>
      </w:r>
    </w:p>
    <w:p>
      <w:pPr>
        <w:spacing w:after="280"/>
        <w:jc w:val="center"/>
      </w:pPr>
      <w:r>
        <w:rPr>
          <w:i/>
          <w:color w:val="555C66"/>
          <w:sz w:val="24"/>
        </w:rPr>
        <w:t>MTR-09 | Completed Order-Line Merchandise Value</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0B2545"/>
          </w:tcPr>
          <w:p>
            <w:pPr>
              <w:spacing w:after="40" w:before="40"/>
            </w:pPr>
            <w:r>
              <w:rPr>
                <w:rFonts w:ascii="Calibri" w:hAnsi="Calibri"/>
                <w:b/>
                <w:color w:val="FFFFFF"/>
                <w:sz w:val="16"/>
              </w:rPr>
              <w:t>METRIC OWNER</w:t>
            </w:r>
          </w:p>
        </w:tc>
        <w:tc>
          <w:tcPr>
            <w:tcW w:type="dxa" w:w="3360"/>
            <w:vAlign w:val="center"/>
            <w:shd w:fill="0B2545"/>
          </w:tcPr>
          <w:p>
            <w:pPr>
              <w:spacing w:after="40" w:before="40"/>
            </w:pPr>
            <w:r>
              <w:rPr>
                <w:rFonts w:ascii="Calibri" w:hAnsi="Calibri"/>
                <w:b/>
                <w:color w:val="FFFFFF"/>
                <w:sz w:val="16"/>
              </w:rPr>
              <w:t>REFRESH</w:t>
            </w:r>
          </w:p>
        </w:tc>
        <w:tc>
          <w:tcPr>
            <w:tcW w:type="dxa" w:w="3360"/>
            <w:vAlign w:val="center"/>
            <w:shd w:fill="0B2545"/>
          </w:tcPr>
          <w:p>
            <w:pPr>
              <w:spacing w:after="40" w:before="40"/>
            </w:pPr>
            <w:r>
              <w:rPr>
                <w:rFonts w:ascii="Calibri" w:hAnsi="Calibri"/>
                <w:b/>
                <w:color w:val="FFFFFF"/>
                <w:sz w:val="16"/>
              </w:rPr>
              <w:t>REVIEW</w:t>
            </w:r>
          </w:p>
        </w:tc>
      </w:tr>
      <w:tr>
        <w:tc>
          <w:tcPr>
            <w:tcW w:type="dxa" w:w="3360"/>
            <w:vAlign w:val="center"/>
          </w:tcPr>
          <w:p>
            <w:pPr>
              <w:spacing w:after="40" w:before="40"/>
            </w:pPr>
            <w:r>
              <w:rPr>
                <w:rFonts w:ascii="Calibri" w:hAnsi="Calibri"/>
                <w:b w:val="0"/>
                <w:color w:val="0B2545"/>
                <w:sz w:val="18"/>
              </w:rPr>
              <w:t>BI Data Analyst</w:t>
            </w:r>
          </w:p>
        </w:tc>
        <w:tc>
          <w:tcPr>
            <w:tcW w:type="dxa" w:w="3360"/>
            <w:vAlign w:val="center"/>
          </w:tcPr>
          <w:p>
            <w:pPr>
              <w:spacing w:after="40" w:before="40"/>
            </w:pPr>
            <w:r>
              <w:rPr>
                <w:rFonts w:ascii="Calibri" w:hAnsi="Calibri"/>
                <w:b w:val="0"/>
                <w:color w:val="0B2545"/>
                <w:sz w:val="18"/>
              </w:rPr>
              <w:t>Through 2026-07-13 23:59 JST</w:t>
            </w:r>
          </w:p>
        </w:tc>
        <w:tc>
          <w:tcPr>
            <w:tcW w:type="dxa" w:w="3360"/>
            <w:vAlign w:val="center"/>
          </w:tcPr>
          <w:p>
            <w:pPr>
              <w:spacing w:after="40" w:before="40"/>
            </w:pPr>
            <w:r>
              <w:rPr>
                <w:rFonts w:ascii="Calibri" w:hAnsi="Calibri"/>
                <w:b w:val="0"/>
                <w:color w:val="0B2545"/>
                <w:sz w:val="18"/>
              </w:rPr>
              <w:t>2026-07-14 06:00 JST</w:t>
            </w:r>
          </w:p>
        </w:tc>
      </w:tr>
    </w:tbl>
    <w:p>
      <w:pPr>
        <w:pStyle w:val="Heading1"/>
        <w:spacing w:before="240" w:after="100"/>
      </w:pPr>
      <w:r>
        <w:rPr>
          <w:color w:val="2E74B5"/>
        </w:rPr>
        <w:t>1. Metric purpose and definition</w:t>
      </w:r>
    </w:p>
    <w:p>
      <w:r>
        <w:t>MTR-09 measures completed order-line merchandise value in JPY. It is tax excluded and net of recognized refunds. The metric supports daily close review, commercial performance comparison, and controlled reporting across the Mosaic Retail Analytics fictional training environment.</w:t>
      </w:r>
    </w:p>
    <w:p>
      <w:pPr>
        <w:pStyle w:val="Heading2"/>
        <w:spacing w:before="160" w:after="100"/>
      </w:pPr>
      <w:r>
        <w:rPr>
          <w:color w:val="2E74B5"/>
        </w:rPr>
        <w:t>Definition boundary</w:t>
      </w:r>
    </w:p>
    <w:p>
      <w:pPr>
        <w:pStyle w:val="ListBullet"/>
        <w:spacing w:after="60"/>
      </w:pPr>
      <w:r>
        <w:t>Include completed order lines posted through the stated refresh cutoff.</w:t>
      </w:r>
    </w:p>
    <w:p>
      <w:pPr>
        <w:pStyle w:val="ListBullet"/>
        <w:spacing w:after="60"/>
      </w:pPr>
      <w:r>
        <w:t>Exclude tax, shipping, cancelled lines, and unrecognized refund activity.</w:t>
      </w:r>
    </w:p>
    <w:p>
      <w:pPr>
        <w:pStyle w:val="ListBullet"/>
        <w:spacing w:after="60"/>
      </w:pPr>
      <w:r>
        <w:t>Recognize refunds once they meet the approved accounting recognition rule.</w:t>
      </w:r>
    </w:p>
    <w:p>
      <w:pPr>
        <w:pStyle w:val="ListBullet"/>
        <w:spacing w:after="60"/>
      </w:pPr>
      <w:r>
        <w:t>Report in JPY, rounded to one decimal million for executive reference views.</w:t>
      </w:r>
    </w:p>
    <w:p>
      <w:pPr>
        <w:pStyle w:val="Heading1"/>
        <w:spacing w:before="240" w:after="100"/>
      </w:pPr>
      <w:r>
        <w:rPr>
          <w:color w:val="2E74B5"/>
        </w:rPr>
        <w:t>2. Calculation standard</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2E74B5"/>
          </w:tcPr>
          <w:p>
            <w:pPr>
              <w:spacing w:after="40" w:before="40"/>
            </w:pPr>
            <w:r>
              <w:rPr>
                <w:rFonts w:ascii="Calibri" w:hAnsi="Calibri"/>
                <w:b/>
                <w:color w:val="FFFFFF"/>
                <w:sz w:val="19"/>
              </w:rPr>
              <w:t>Component</w:t>
            </w:r>
          </w:p>
        </w:tc>
        <w:tc>
          <w:tcPr>
            <w:tcW w:type="dxa" w:w="3360"/>
            <w:vAlign w:val="center"/>
            <w:shd w:fill="2E74B5"/>
          </w:tcPr>
          <w:p>
            <w:pPr>
              <w:spacing w:after="40" w:before="40"/>
            </w:pPr>
            <w:r>
              <w:rPr>
                <w:rFonts w:ascii="Calibri" w:hAnsi="Calibri"/>
                <w:b/>
                <w:color w:val="FFFFFF"/>
                <w:sz w:val="19"/>
              </w:rPr>
              <w:t>Value (JPY M)</w:t>
            </w:r>
          </w:p>
        </w:tc>
        <w:tc>
          <w:tcPr>
            <w:tcW w:type="dxa" w:w="3360"/>
            <w:vAlign w:val="center"/>
            <w:shd w:fill="2E74B5"/>
          </w:tcPr>
          <w:p>
            <w:pPr>
              <w:spacing w:after="40" w:before="40"/>
            </w:pPr>
            <w:r>
              <w:rPr>
                <w:rFonts w:ascii="Calibri" w:hAnsi="Calibri"/>
                <w:b/>
                <w:color w:val="FFFFFF"/>
                <w:sz w:val="19"/>
              </w:rPr>
              <w:t>Control interpretation</w:t>
            </w:r>
          </w:p>
        </w:tc>
      </w:tr>
      <w:tr>
        <w:tc>
          <w:tcPr>
            <w:tcW w:type="dxa" w:w="3360"/>
            <w:vAlign w:val="center"/>
          </w:tcPr>
          <w:p>
            <w:pPr>
              <w:spacing w:after="40" w:before="40"/>
            </w:pPr>
            <w:r>
              <w:rPr>
                <w:rFonts w:ascii="Calibri" w:hAnsi="Calibri"/>
                <w:b w:val="0"/>
                <w:sz w:val="19"/>
              </w:rPr>
              <w:t>Gross completed order-line merchandise value</w:t>
            </w:r>
          </w:p>
        </w:tc>
        <w:tc>
          <w:tcPr>
            <w:tcW w:type="dxa" w:w="3360"/>
            <w:vAlign w:val="center"/>
          </w:tcPr>
          <w:p>
            <w:pPr>
              <w:spacing w:after="40" w:before="40"/>
            </w:pPr>
            <w:r>
              <w:rPr>
                <w:rFonts w:ascii="Calibri" w:hAnsi="Calibri"/>
                <w:b w:val="0"/>
                <w:sz w:val="19"/>
              </w:rPr>
              <w:t>86.0</w:t>
            </w:r>
          </w:p>
        </w:tc>
        <w:tc>
          <w:tcPr>
            <w:tcW w:type="dxa" w:w="3360"/>
            <w:vAlign w:val="center"/>
          </w:tcPr>
          <w:p>
            <w:pPr>
              <w:spacing w:after="40" w:before="40"/>
            </w:pPr>
            <w:r>
              <w:rPr>
                <w:rFonts w:ascii="Calibri" w:hAnsi="Calibri"/>
                <w:b w:val="0"/>
                <w:sz w:val="19"/>
              </w:rPr>
              <w:t>Tax excluded completed order lines</w:t>
            </w:r>
          </w:p>
        </w:tc>
      </w:tr>
      <w:tr>
        <w:tc>
          <w:tcPr>
            <w:tcW w:type="dxa" w:w="3360"/>
            <w:vAlign w:val="center"/>
          </w:tcPr>
          <w:p>
            <w:pPr>
              <w:spacing w:after="40" w:before="40"/>
            </w:pPr>
            <w:r>
              <w:rPr>
                <w:rFonts w:ascii="Calibri" w:hAnsi="Calibri"/>
                <w:b w:val="0"/>
                <w:sz w:val="19"/>
              </w:rPr>
              <w:t>Less: recognized refunds</w:t>
            </w:r>
          </w:p>
        </w:tc>
        <w:tc>
          <w:tcPr>
            <w:tcW w:type="dxa" w:w="3360"/>
            <w:vAlign w:val="center"/>
          </w:tcPr>
          <w:p>
            <w:pPr>
              <w:spacing w:after="40" w:before="40"/>
            </w:pPr>
            <w:r>
              <w:rPr>
                <w:rFonts w:ascii="Calibri" w:hAnsi="Calibri"/>
                <w:b w:val="0"/>
                <w:sz w:val="19"/>
              </w:rPr>
              <w:t>(1.8)</w:t>
            </w:r>
          </w:p>
        </w:tc>
        <w:tc>
          <w:tcPr>
            <w:tcW w:type="dxa" w:w="3360"/>
            <w:vAlign w:val="center"/>
          </w:tcPr>
          <w:p>
            <w:pPr>
              <w:spacing w:after="40" w:before="40"/>
            </w:pPr>
            <w:r>
              <w:rPr>
                <w:rFonts w:ascii="Calibri" w:hAnsi="Calibri"/>
                <w:b w:val="0"/>
                <w:sz w:val="19"/>
              </w:rPr>
              <w:t>Approved and recognized only</w:t>
            </w:r>
          </w:p>
        </w:tc>
      </w:tr>
      <w:tr>
        <w:tc>
          <w:tcPr>
            <w:tcW w:type="dxa" w:w="3360"/>
            <w:vAlign w:val="center"/>
            <w:shd w:fill="E8EEF5"/>
          </w:tcPr>
          <w:p>
            <w:pPr>
              <w:spacing w:after="40" w:before="40"/>
            </w:pPr>
            <w:r>
              <w:rPr>
                <w:rFonts w:ascii="Calibri" w:hAnsi="Calibri"/>
                <w:b/>
                <w:color w:val="0B2545"/>
                <w:sz w:val="19"/>
              </w:rPr>
              <w:t>MTR-09 completed order-line merchandise value</w:t>
            </w:r>
          </w:p>
        </w:tc>
        <w:tc>
          <w:tcPr>
            <w:tcW w:type="dxa" w:w="3360"/>
            <w:vAlign w:val="center"/>
            <w:shd w:fill="E8EEF5"/>
          </w:tcPr>
          <w:p>
            <w:pPr>
              <w:spacing w:after="40" w:before="40"/>
            </w:pPr>
            <w:r>
              <w:rPr>
                <w:rFonts w:ascii="Calibri" w:hAnsi="Calibri"/>
                <w:b/>
                <w:color w:val="0B2545"/>
                <w:sz w:val="19"/>
              </w:rPr>
              <w:t>84.2</w:t>
            </w:r>
          </w:p>
        </w:tc>
        <w:tc>
          <w:tcPr>
            <w:tcW w:type="dxa" w:w="3360"/>
            <w:vAlign w:val="center"/>
            <w:shd w:fill="E8EEF5"/>
          </w:tcPr>
          <w:p>
            <w:pPr>
              <w:spacing w:after="40" w:before="40"/>
            </w:pPr>
            <w:r>
              <w:rPr>
                <w:rFonts w:ascii="Calibri" w:hAnsi="Calibri"/>
                <w:b/>
                <w:color w:val="0B2545"/>
                <w:sz w:val="19"/>
              </w:rPr>
              <w:t>Authoritative close value</w:t>
            </w:r>
          </w:p>
        </w:tc>
      </w:tr>
    </w:tbl>
    <w:p>
      <w:pPr>
        <w:pStyle w:val="Caption"/>
      </w:pPr>
      <w:r>
        <w:t>Formula: Gross completed order-line merchandise value - recognized refunds = MTR-09. For the current close, 86.0M - 1.8M = 84.2M JPY.</w:t>
      </w:r>
    </w:p>
    <w:p>
      <w:pPr>
        <w:pStyle w:val="Heading1"/>
        <w:spacing w:before="240" w:after="100"/>
      </w:pPr>
      <w:r>
        <w:rPr>
          <w:color w:val="2E74B5"/>
        </w:rPr>
        <w:t>3. Required reference cuts</w:t>
      </w:r>
    </w:p>
    <w:tbl>
      <w:tblPr>
        <w:tblStyle w:val="TableGrid"/>
        <w:tblW w:type="auto" w:w="0"/>
        <w:tblLook w:firstColumn="1" w:firstRow="1" w:lastColumn="0" w:lastRow="0" w:noHBand="0" w:noVBand="1" w:val="04A0"/>
      </w:tblPr>
      <w:tblGrid>
        <w:gridCol w:w="2520"/>
        <w:gridCol w:w="2520"/>
        <w:gridCol w:w="2520"/>
        <w:gridCol w:w="2520"/>
      </w:tblGrid>
      <w:tr>
        <w:tc>
          <w:tcPr>
            <w:tcW w:type="dxa" w:w="2520"/>
            <w:vAlign w:val="center"/>
            <w:shd w:fill="2E74B5"/>
          </w:tcPr>
          <w:p>
            <w:pPr>
              <w:spacing w:after="40" w:before="40"/>
            </w:pPr>
            <w:r>
              <w:rPr>
                <w:rFonts w:ascii="Calibri" w:hAnsi="Calibri"/>
                <w:b/>
                <w:color w:val="FFFFFF"/>
                <w:sz w:val="19"/>
              </w:rPr>
              <w:t>Cut</w:t>
            </w:r>
          </w:p>
        </w:tc>
        <w:tc>
          <w:tcPr>
            <w:tcW w:type="dxa" w:w="2520"/>
            <w:vAlign w:val="center"/>
            <w:shd w:fill="2E74B5"/>
          </w:tcPr>
          <w:p>
            <w:pPr>
              <w:spacing w:after="40" w:before="40"/>
            </w:pPr>
            <w:r>
              <w:rPr>
                <w:rFonts w:ascii="Calibri" w:hAnsi="Calibri"/>
                <w:b/>
                <w:color w:val="FFFFFF"/>
                <w:sz w:val="19"/>
              </w:rPr>
              <w:t>Current (JPY M)</w:t>
            </w:r>
          </w:p>
        </w:tc>
        <w:tc>
          <w:tcPr>
            <w:tcW w:type="dxa" w:w="2520"/>
            <w:vAlign w:val="center"/>
            <w:shd w:fill="2E74B5"/>
          </w:tcPr>
          <w:p>
            <w:pPr>
              <w:spacing w:after="40" w:before="40"/>
            </w:pPr>
            <w:r>
              <w:rPr>
                <w:rFonts w:ascii="Calibri" w:hAnsi="Calibri"/>
                <w:b/>
                <w:color w:val="FFFFFF"/>
                <w:sz w:val="19"/>
              </w:rPr>
              <w:t>Reference total</w:t>
            </w:r>
          </w:p>
        </w:tc>
        <w:tc>
          <w:tcPr>
            <w:tcW w:type="dxa" w:w="2520"/>
            <w:vAlign w:val="center"/>
            <w:shd w:fill="2E74B5"/>
          </w:tcPr>
          <w:p>
            <w:pPr>
              <w:spacing w:after="40" w:before="40"/>
            </w:pPr>
            <w:r>
              <w:rPr>
                <w:rFonts w:ascii="Calibri" w:hAnsi="Calibri"/>
                <w:b/>
                <w:color w:val="FFFFFF"/>
                <w:sz w:val="19"/>
              </w:rPr>
              <w:t>Use</w:t>
            </w:r>
          </w:p>
        </w:tc>
      </w:tr>
      <w:tr>
        <w:tc>
          <w:tcPr>
            <w:tcW w:type="dxa" w:w="2520"/>
            <w:vAlign w:val="center"/>
          </w:tcPr>
          <w:p>
            <w:pPr>
              <w:spacing w:after="40" w:before="40"/>
            </w:pPr>
            <w:r>
              <w:rPr>
                <w:rFonts w:ascii="Calibri" w:hAnsi="Calibri"/>
                <w:b w:val="0"/>
                <w:sz w:val="19"/>
              </w:rPr>
              <w:t>Plan</w:t>
            </w:r>
          </w:p>
        </w:tc>
        <w:tc>
          <w:tcPr>
            <w:tcW w:type="dxa" w:w="2520"/>
            <w:vAlign w:val="center"/>
          </w:tcPr>
          <w:p>
            <w:pPr>
              <w:spacing w:after="40" w:before="40"/>
            </w:pPr>
            <w:r>
              <w:rPr>
                <w:rFonts w:ascii="Calibri" w:hAnsi="Calibri"/>
                <w:b/>
                <w:sz w:val="19"/>
              </w:rPr>
              <w:t>80.0</w:t>
            </w:r>
          </w:p>
        </w:tc>
        <w:tc>
          <w:tcPr>
            <w:tcW w:type="dxa" w:w="2520"/>
            <w:vAlign w:val="center"/>
          </w:tcPr>
          <w:p>
            <w:pPr>
              <w:spacing w:after="40" w:before="40"/>
            </w:pPr>
            <w:r>
              <w:rPr>
                <w:rFonts w:ascii="Calibri" w:hAnsi="Calibri"/>
                <w:b w:val="0"/>
                <w:sz w:val="19"/>
              </w:rPr>
              <w:t>84.2</w:t>
            </w:r>
          </w:p>
        </w:tc>
        <w:tc>
          <w:tcPr>
            <w:tcW w:type="dxa" w:w="2520"/>
            <w:vAlign w:val="center"/>
          </w:tcPr>
          <w:p>
            <w:pPr>
              <w:spacing w:after="40" w:before="40"/>
            </w:pPr>
            <w:r>
              <w:rPr>
                <w:rFonts w:ascii="Calibri" w:hAnsi="Calibri"/>
                <w:b w:val="0"/>
                <w:sz w:val="19"/>
              </w:rPr>
              <w:t>Variance vs plan +4.2M</w:t>
            </w:r>
          </w:p>
        </w:tc>
      </w:tr>
      <w:tr>
        <w:tc>
          <w:tcPr>
            <w:tcW w:type="dxa" w:w="2520"/>
            <w:vAlign w:val="center"/>
          </w:tcPr>
          <w:p>
            <w:pPr>
              <w:spacing w:after="40" w:before="40"/>
            </w:pPr>
            <w:r>
              <w:rPr>
                <w:rFonts w:ascii="Calibri" w:hAnsi="Calibri"/>
                <w:b w:val="0"/>
                <w:sz w:val="19"/>
              </w:rPr>
              <w:t>Prior</w:t>
            </w:r>
          </w:p>
        </w:tc>
        <w:tc>
          <w:tcPr>
            <w:tcW w:type="dxa" w:w="2520"/>
            <w:vAlign w:val="center"/>
          </w:tcPr>
          <w:p>
            <w:pPr>
              <w:spacing w:after="40" w:before="40"/>
            </w:pPr>
            <w:r>
              <w:rPr>
                <w:rFonts w:ascii="Calibri" w:hAnsi="Calibri"/>
                <w:b/>
                <w:sz w:val="19"/>
              </w:rPr>
              <w:t>78.6</w:t>
            </w:r>
          </w:p>
        </w:tc>
        <w:tc>
          <w:tcPr>
            <w:tcW w:type="dxa" w:w="2520"/>
            <w:vAlign w:val="center"/>
          </w:tcPr>
          <w:p>
            <w:pPr>
              <w:spacing w:after="40" w:before="40"/>
            </w:pPr>
            <w:r>
              <w:rPr>
                <w:rFonts w:ascii="Calibri" w:hAnsi="Calibri"/>
                <w:b w:val="0"/>
                <w:sz w:val="19"/>
              </w:rPr>
              <w:t>84.2</w:t>
            </w:r>
          </w:p>
        </w:tc>
        <w:tc>
          <w:tcPr>
            <w:tcW w:type="dxa" w:w="2520"/>
            <w:vAlign w:val="center"/>
          </w:tcPr>
          <w:p>
            <w:pPr>
              <w:spacing w:after="40" w:before="40"/>
            </w:pPr>
            <w:r>
              <w:rPr>
                <w:rFonts w:ascii="Calibri" w:hAnsi="Calibri"/>
                <w:b w:val="0"/>
                <w:sz w:val="19"/>
              </w:rPr>
              <w:t>Variance vs prior +5.6M</w:t>
            </w:r>
          </w:p>
        </w:tc>
      </w:tr>
      <w:tr>
        <w:tc>
          <w:tcPr>
            <w:tcW w:type="dxa" w:w="2520"/>
            <w:vAlign w:val="center"/>
          </w:tcPr>
          <w:p>
            <w:pPr>
              <w:spacing w:after="40" w:before="40"/>
            </w:pPr>
            <w:r>
              <w:rPr>
                <w:rFonts w:ascii="Calibri" w:hAnsi="Calibri"/>
                <w:b w:val="0"/>
                <w:sz w:val="19"/>
              </w:rPr>
              <w:t>Online</w:t>
            </w:r>
          </w:p>
        </w:tc>
        <w:tc>
          <w:tcPr>
            <w:tcW w:type="dxa" w:w="2520"/>
            <w:vAlign w:val="center"/>
          </w:tcPr>
          <w:p>
            <w:pPr>
              <w:spacing w:after="40" w:before="40"/>
            </w:pPr>
            <w:r>
              <w:rPr>
                <w:rFonts w:ascii="Calibri" w:hAnsi="Calibri"/>
                <w:b/>
                <w:sz w:val="19"/>
              </w:rPr>
              <w:t>46.3</w:t>
            </w:r>
          </w:p>
        </w:tc>
        <w:tc>
          <w:tcPr>
            <w:tcW w:type="dxa" w:w="2520"/>
            <w:vAlign w:val="center"/>
          </w:tcPr>
          <w:p>
            <w:pPr>
              <w:spacing w:after="40" w:before="40"/>
            </w:pPr>
            <w:r>
              <w:rPr>
                <w:rFonts w:ascii="Calibri" w:hAnsi="Calibri"/>
                <w:b w:val="0"/>
                <w:sz w:val="19"/>
              </w:rPr>
              <w:t>84.2</w:t>
            </w:r>
          </w:p>
        </w:tc>
        <w:tc>
          <w:tcPr>
            <w:tcW w:type="dxa" w:w="2520"/>
            <w:vAlign w:val="center"/>
          </w:tcPr>
          <w:p>
            <w:pPr>
              <w:spacing w:after="40" w:before="40"/>
            </w:pPr>
            <w:r>
              <w:rPr>
                <w:rFonts w:ascii="Calibri" w:hAnsi="Calibri"/>
                <w:b w:val="0"/>
                <w:sz w:val="19"/>
              </w:rPr>
              <w:t>Channel reconciliation</w:t>
            </w:r>
          </w:p>
        </w:tc>
      </w:tr>
      <w:tr>
        <w:tc>
          <w:tcPr>
            <w:tcW w:type="dxa" w:w="2520"/>
            <w:vAlign w:val="center"/>
          </w:tcPr>
          <w:p>
            <w:pPr>
              <w:spacing w:after="40" w:before="40"/>
            </w:pPr>
            <w:r>
              <w:rPr>
                <w:rFonts w:ascii="Calibri" w:hAnsi="Calibri"/>
                <w:b w:val="0"/>
                <w:sz w:val="19"/>
              </w:rPr>
              <w:t>Stores</w:t>
            </w:r>
          </w:p>
        </w:tc>
        <w:tc>
          <w:tcPr>
            <w:tcW w:type="dxa" w:w="2520"/>
            <w:vAlign w:val="center"/>
          </w:tcPr>
          <w:p>
            <w:pPr>
              <w:spacing w:after="40" w:before="40"/>
            </w:pPr>
            <w:r>
              <w:rPr>
                <w:rFonts w:ascii="Calibri" w:hAnsi="Calibri"/>
                <w:b/>
                <w:sz w:val="19"/>
              </w:rPr>
              <w:t>37.9</w:t>
            </w:r>
          </w:p>
        </w:tc>
        <w:tc>
          <w:tcPr>
            <w:tcW w:type="dxa" w:w="2520"/>
            <w:vAlign w:val="center"/>
          </w:tcPr>
          <w:p>
            <w:pPr>
              <w:spacing w:after="40" w:before="40"/>
            </w:pPr>
            <w:r>
              <w:rPr>
                <w:rFonts w:ascii="Calibri" w:hAnsi="Calibri"/>
                <w:b w:val="0"/>
                <w:sz w:val="19"/>
              </w:rPr>
              <w:t>84.2</w:t>
            </w:r>
          </w:p>
        </w:tc>
        <w:tc>
          <w:tcPr>
            <w:tcW w:type="dxa" w:w="2520"/>
            <w:vAlign w:val="center"/>
          </w:tcPr>
          <w:p>
            <w:pPr>
              <w:spacing w:after="40" w:before="40"/>
            </w:pPr>
            <w:r>
              <w:rPr>
                <w:rFonts w:ascii="Calibri" w:hAnsi="Calibri"/>
                <w:b w:val="0"/>
                <w:sz w:val="19"/>
              </w:rPr>
              <w:t>Channel reconciliation</w:t>
            </w:r>
          </w:p>
        </w:tc>
      </w:tr>
      <w:tr>
        <w:tc>
          <w:tcPr>
            <w:tcW w:type="dxa" w:w="2520"/>
            <w:vAlign w:val="center"/>
          </w:tcPr>
          <w:p>
            <w:pPr>
              <w:spacing w:after="40" w:before="40"/>
            </w:pPr>
            <w:r>
              <w:rPr>
                <w:rFonts w:ascii="Calibri" w:hAnsi="Calibri"/>
                <w:b w:val="0"/>
                <w:sz w:val="19"/>
              </w:rPr>
              <w:t>Daily Jul 7-13</w:t>
            </w:r>
          </w:p>
        </w:tc>
        <w:tc>
          <w:tcPr>
            <w:tcW w:type="dxa" w:w="2520"/>
            <w:vAlign w:val="center"/>
          </w:tcPr>
          <w:p>
            <w:pPr>
              <w:spacing w:after="40" w:before="40"/>
            </w:pPr>
            <w:r>
              <w:rPr>
                <w:rFonts w:ascii="Calibri" w:hAnsi="Calibri"/>
                <w:b/>
                <w:sz w:val="19"/>
              </w:rPr>
              <w:t>10.8 to 13.2</w:t>
            </w:r>
          </w:p>
        </w:tc>
        <w:tc>
          <w:tcPr>
            <w:tcW w:type="dxa" w:w="2520"/>
            <w:vAlign w:val="center"/>
          </w:tcPr>
          <w:p>
            <w:pPr>
              <w:spacing w:after="40" w:before="40"/>
            </w:pPr>
            <w:r>
              <w:rPr>
                <w:rFonts w:ascii="Calibri" w:hAnsi="Calibri"/>
                <w:b w:val="0"/>
                <w:sz w:val="19"/>
              </w:rPr>
              <w:t>84.2</w:t>
            </w:r>
          </w:p>
        </w:tc>
        <w:tc>
          <w:tcPr>
            <w:tcW w:type="dxa" w:w="2520"/>
            <w:vAlign w:val="center"/>
          </w:tcPr>
          <w:p>
            <w:pPr>
              <w:spacing w:after="40" w:before="40"/>
            </w:pPr>
            <w:r>
              <w:rPr>
                <w:rFonts w:ascii="Calibri" w:hAnsi="Calibri"/>
                <w:b w:val="0"/>
                <w:sz w:val="19"/>
              </w:rPr>
              <w:t>Close trend check</w:t>
            </w:r>
          </w:p>
        </w:tc>
      </w:tr>
    </w:tbl>
    <w:p>
      <w:r>
        <w:br w:type="page"/>
      </w:r>
    </w:p>
    <w:p>
      <w:pPr>
        <w:pStyle w:val="Heading1"/>
        <w:spacing w:before="240" w:after="100"/>
      </w:pPr>
      <w:r>
        <w:rPr>
          <w:color w:val="2E74B5"/>
        </w:rPr>
        <w:t>4. Dimension reference and reconciliation</w:t>
      </w:r>
    </w:p>
    <w:p>
      <w:r>
        <w:t>All dimensional cuts below reconcile to 84.2M JPY. Use them as reference distributions; they do not alter the MTR-09 definition.</w:t>
      </w:r>
    </w:p>
    <w:p>
      <w:pPr>
        <w:pStyle w:val="Heading2"/>
        <w:spacing w:before="160" w:after="100"/>
      </w:pPr>
      <w:r>
        <w:rPr>
          <w:color w:val="2E74B5"/>
        </w:rPr>
        <w:t>Region</w:t>
      </w:r>
    </w:p>
    <w:tbl>
      <w:tblPr>
        <w:tblStyle w:val="TableGrid"/>
        <w:tblW w:type="auto" w:w="0"/>
        <w:tblLook w:firstColumn="1" w:firstRow="1" w:lastColumn="0" w:lastRow="0" w:noHBand="0" w:noVBand="1" w:val="04A0"/>
      </w:tblPr>
      <w:tblGrid>
        <w:gridCol w:w="5040"/>
        <w:gridCol w:w="5040"/>
      </w:tblGrid>
      <w:tr>
        <w:tc>
          <w:tcPr>
            <w:tcW w:type="dxa" w:w="5040"/>
            <w:vAlign w:val="center"/>
            <w:shd w:fill="0B2545"/>
          </w:tcPr>
          <w:p>
            <w:pPr>
              <w:spacing w:after="40" w:before="40"/>
            </w:pPr>
            <w:r>
              <w:rPr>
                <w:rFonts w:ascii="Calibri" w:hAnsi="Calibri"/>
                <w:b/>
                <w:color w:val="FFFFFF"/>
                <w:sz w:val="19"/>
              </w:rPr>
              <w:t>Region</w:t>
            </w:r>
          </w:p>
        </w:tc>
        <w:tc>
          <w:tcPr>
            <w:tcW w:type="dxa" w:w="5040"/>
            <w:vAlign w:val="center"/>
            <w:shd w:fill="0B2545"/>
          </w:tcPr>
          <w:p>
            <w:pPr>
              <w:spacing w:after="40" w:before="40"/>
            </w:pPr>
            <w:r>
              <w:rPr>
                <w:rFonts w:ascii="Calibri" w:hAnsi="Calibri"/>
                <w:b/>
                <w:color w:val="FFFFFF"/>
                <w:sz w:val="19"/>
              </w:rPr>
              <w:t>JPY M</w:t>
            </w:r>
          </w:p>
        </w:tc>
      </w:tr>
      <w:tr>
        <w:tc>
          <w:tcPr>
            <w:tcW w:type="dxa" w:w="5040"/>
            <w:vAlign w:val="center"/>
          </w:tcPr>
          <w:p>
            <w:pPr>
              <w:spacing w:after="40" w:before="40"/>
            </w:pPr>
            <w:r>
              <w:rPr>
                <w:rFonts w:ascii="Calibri" w:hAnsi="Calibri"/>
                <w:b w:val="0"/>
                <w:sz w:val="19"/>
              </w:rPr>
              <w:t>East</w:t>
            </w:r>
          </w:p>
        </w:tc>
        <w:tc>
          <w:tcPr>
            <w:tcW w:type="dxa" w:w="5040"/>
            <w:vAlign w:val="center"/>
          </w:tcPr>
          <w:p>
            <w:pPr>
              <w:spacing w:after="40" w:before="40"/>
            </w:pPr>
            <w:r>
              <w:rPr>
                <w:rFonts w:ascii="Calibri" w:hAnsi="Calibri"/>
                <w:b/>
                <w:sz w:val="19"/>
              </w:rPr>
              <w:t>26.4</w:t>
            </w:r>
          </w:p>
        </w:tc>
      </w:tr>
      <w:tr>
        <w:tc>
          <w:tcPr>
            <w:tcW w:type="dxa" w:w="5040"/>
            <w:vAlign w:val="center"/>
          </w:tcPr>
          <w:p>
            <w:pPr>
              <w:spacing w:after="40" w:before="40"/>
            </w:pPr>
            <w:r>
              <w:rPr>
                <w:rFonts w:ascii="Calibri" w:hAnsi="Calibri"/>
                <w:b w:val="0"/>
                <w:sz w:val="19"/>
              </w:rPr>
              <w:t>West</w:t>
            </w:r>
          </w:p>
        </w:tc>
        <w:tc>
          <w:tcPr>
            <w:tcW w:type="dxa" w:w="5040"/>
            <w:vAlign w:val="center"/>
          </w:tcPr>
          <w:p>
            <w:pPr>
              <w:spacing w:after="40" w:before="40"/>
            </w:pPr>
            <w:r>
              <w:rPr>
                <w:rFonts w:ascii="Calibri" w:hAnsi="Calibri"/>
                <w:b/>
                <w:sz w:val="19"/>
              </w:rPr>
              <w:t>22.8</w:t>
            </w:r>
          </w:p>
        </w:tc>
      </w:tr>
      <w:tr>
        <w:tc>
          <w:tcPr>
            <w:tcW w:type="dxa" w:w="5040"/>
            <w:vAlign w:val="center"/>
          </w:tcPr>
          <w:p>
            <w:pPr>
              <w:spacing w:after="40" w:before="40"/>
            </w:pPr>
            <w:r>
              <w:rPr>
                <w:rFonts w:ascii="Calibri" w:hAnsi="Calibri"/>
                <w:b w:val="0"/>
                <w:sz w:val="19"/>
              </w:rPr>
              <w:t>Central</w:t>
            </w:r>
          </w:p>
        </w:tc>
        <w:tc>
          <w:tcPr>
            <w:tcW w:type="dxa" w:w="5040"/>
            <w:vAlign w:val="center"/>
          </w:tcPr>
          <w:p>
            <w:pPr>
              <w:spacing w:after="40" w:before="40"/>
            </w:pPr>
            <w:r>
              <w:rPr>
                <w:rFonts w:ascii="Calibri" w:hAnsi="Calibri"/>
                <w:b/>
                <w:sz w:val="19"/>
              </w:rPr>
              <w:t>18.6</w:t>
            </w:r>
          </w:p>
        </w:tc>
      </w:tr>
      <w:tr>
        <w:tc>
          <w:tcPr>
            <w:tcW w:type="dxa" w:w="5040"/>
            <w:vAlign w:val="center"/>
          </w:tcPr>
          <w:p>
            <w:pPr>
              <w:spacing w:after="40" w:before="40"/>
            </w:pPr>
            <w:r>
              <w:rPr>
                <w:rFonts w:ascii="Calibri" w:hAnsi="Calibri"/>
                <w:b w:val="0"/>
                <w:sz w:val="19"/>
              </w:rPr>
              <w:t>North</w:t>
            </w:r>
          </w:p>
        </w:tc>
        <w:tc>
          <w:tcPr>
            <w:tcW w:type="dxa" w:w="5040"/>
            <w:vAlign w:val="center"/>
          </w:tcPr>
          <w:p>
            <w:pPr>
              <w:spacing w:after="40" w:before="40"/>
            </w:pPr>
            <w:r>
              <w:rPr>
                <w:rFonts w:ascii="Calibri" w:hAnsi="Calibri"/>
                <w:b/>
                <w:sz w:val="19"/>
              </w:rPr>
              <w:t>16.4</w:t>
            </w:r>
          </w:p>
        </w:tc>
      </w:tr>
    </w:tbl>
    <w:p>
      <w:pPr>
        <w:pStyle w:val="Heading2"/>
        <w:spacing w:before="160" w:after="100"/>
      </w:pPr>
      <w:r>
        <w:rPr>
          <w:color w:val="2E74B5"/>
        </w:rPr>
        <w:t>Category</w:t>
      </w:r>
    </w:p>
    <w:tbl>
      <w:tblPr>
        <w:tblStyle w:val="TableGrid"/>
        <w:tblW w:type="auto" w:w="0"/>
        <w:tblLook w:firstColumn="1" w:firstRow="1" w:lastColumn="0" w:lastRow="0" w:noHBand="0" w:noVBand="1" w:val="04A0"/>
      </w:tblPr>
      <w:tblGrid>
        <w:gridCol w:w="5040"/>
        <w:gridCol w:w="5040"/>
      </w:tblGrid>
      <w:tr>
        <w:tc>
          <w:tcPr>
            <w:tcW w:type="dxa" w:w="5040"/>
            <w:vAlign w:val="center"/>
            <w:shd w:fill="0B2545"/>
          </w:tcPr>
          <w:p>
            <w:pPr>
              <w:spacing w:after="40" w:before="40"/>
            </w:pPr>
            <w:r>
              <w:rPr>
                <w:rFonts w:ascii="Calibri" w:hAnsi="Calibri"/>
                <w:b/>
                <w:color w:val="FFFFFF"/>
                <w:sz w:val="19"/>
              </w:rPr>
              <w:t>Category</w:t>
            </w:r>
          </w:p>
        </w:tc>
        <w:tc>
          <w:tcPr>
            <w:tcW w:type="dxa" w:w="5040"/>
            <w:vAlign w:val="center"/>
            <w:shd w:fill="0B2545"/>
          </w:tcPr>
          <w:p>
            <w:pPr>
              <w:spacing w:after="40" w:before="40"/>
            </w:pPr>
            <w:r>
              <w:rPr>
                <w:rFonts w:ascii="Calibri" w:hAnsi="Calibri"/>
                <w:b/>
                <w:color w:val="FFFFFF"/>
                <w:sz w:val="19"/>
              </w:rPr>
              <w:t>JPY M</w:t>
            </w:r>
          </w:p>
        </w:tc>
      </w:tr>
      <w:tr>
        <w:tc>
          <w:tcPr>
            <w:tcW w:type="dxa" w:w="5040"/>
            <w:vAlign w:val="center"/>
          </w:tcPr>
          <w:p>
            <w:pPr>
              <w:spacing w:after="40" w:before="40"/>
            </w:pPr>
            <w:r>
              <w:rPr>
                <w:rFonts w:ascii="Calibri" w:hAnsi="Calibri"/>
                <w:b w:val="0"/>
                <w:sz w:val="19"/>
              </w:rPr>
              <w:t>Home</w:t>
            </w:r>
          </w:p>
        </w:tc>
        <w:tc>
          <w:tcPr>
            <w:tcW w:type="dxa" w:w="5040"/>
            <w:vAlign w:val="center"/>
          </w:tcPr>
          <w:p>
            <w:pPr>
              <w:spacing w:after="40" w:before="40"/>
            </w:pPr>
            <w:r>
              <w:rPr>
                <w:rFonts w:ascii="Calibri" w:hAnsi="Calibri"/>
                <w:b/>
                <w:sz w:val="19"/>
              </w:rPr>
              <w:t>24.8</w:t>
            </w:r>
          </w:p>
        </w:tc>
      </w:tr>
      <w:tr>
        <w:tc>
          <w:tcPr>
            <w:tcW w:type="dxa" w:w="5040"/>
            <w:vAlign w:val="center"/>
          </w:tcPr>
          <w:p>
            <w:pPr>
              <w:spacing w:after="40" w:before="40"/>
            </w:pPr>
            <w:r>
              <w:rPr>
                <w:rFonts w:ascii="Calibri" w:hAnsi="Calibri"/>
                <w:b w:val="0"/>
                <w:sz w:val="19"/>
              </w:rPr>
              <w:t>Electronics</w:t>
            </w:r>
          </w:p>
        </w:tc>
        <w:tc>
          <w:tcPr>
            <w:tcW w:type="dxa" w:w="5040"/>
            <w:vAlign w:val="center"/>
          </w:tcPr>
          <w:p>
            <w:pPr>
              <w:spacing w:after="40" w:before="40"/>
            </w:pPr>
            <w:r>
              <w:rPr>
                <w:rFonts w:ascii="Calibri" w:hAnsi="Calibri"/>
                <w:b/>
                <w:sz w:val="19"/>
              </w:rPr>
              <w:t>22.1</w:t>
            </w:r>
          </w:p>
        </w:tc>
      </w:tr>
      <w:tr>
        <w:tc>
          <w:tcPr>
            <w:tcW w:type="dxa" w:w="5040"/>
            <w:vAlign w:val="center"/>
          </w:tcPr>
          <w:p>
            <w:pPr>
              <w:spacing w:after="40" w:before="40"/>
            </w:pPr>
            <w:r>
              <w:rPr>
                <w:rFonts w:ascii="Calibri" w:hAnsi="Calibri"/>
                <w:b w:val="0"/>
                <w:sz w:val="19"/>
              </w:rPr>
              <w:t>Apparel</w:t>
            </w:r>
          </w:p>
        </w:tc>
        <w:tc>
          <w:tcPr>
            <w:tcW w:type="dxa" w:w="5040"/>
            <w:vAlign w:val="center"/>
          </w:tcPr>
          <w:p>
            <w:pPr>
              <w:spacing w:after="40" w:before="40"/>
            </w:pPr>
            <w:r>
              <w:rPr>
                <w:rFonts w:ascii="Calibri" w:hAnsi="Calibri"/>
                <w:b/>
                <w:sz w:val="19"/>
              </w:rPr>
              <w:t>19.3</w:t>
            </w:r>
          </w:p>
        </w:tc>
      </w:tr>
      <w:tr>
        <w:tc>
          <w:tcPr>
            <w:tcW w:type="dxa" w:w="5040"/>
            <w:vAlign w:val="center"/>
          </w:tcPr>
          <w:p>
            <w:pPr>
              <w:spacing w:after="40" w:before="40"/>
            </w:pPr>
            <w:r>
              <w:rPr>
                <w:rFonts w:ascii="Calibri" w:hAnsi="Calibri"/>
                <w:b w:val="0"/>
                <w:sz w:val="19"/>
              </w:rPr>
              <w:t>Beauty</w:t>
            </w:r>
          </w:p>
        </w:tc>
        <w:tc>
          <w:tcPr>
            <w:tcW w:type="dxa" w:w="5040"/>
            <w:vAlign w:val="center"/>
          </w:tcPr>
          <w:p>
            <w:pPr>
              <w:spacing w:after="40" w:before="40"/>
            </w:pPr>
            <w:r>
              <w:rPr>
                <w:rFonts w:ascii="Calibri" w:hAnsi="Calibri"/>
                <w:b/>
                <w:sz w:val="19"/>
              </w:rPr>
              <w:t>10.7</w:t>
            </w:r>
          </w:p>
        </w:tc>
      </w:tr>
      <w:tr>
        <w:tc>
          <w:tcPr>
            <w:tcW w:type="dxa" w:w="5040"/>
            <w:vAlign w:val="center"/>
          </w:tcPr>
          <w:p>
            <w:pPr>
              <w:spacing w:after="40" w:before="40"/>
            </w:pPr>
            <w:r>
              <w:rPr>
                <w:rFonts w:ascii="Calibri" w:hAnsi="Calibri"/>
                <w:b w:val="0"/>
                <w:sz w:val="19"/>
              </w:rPr>
              <w:t>Other</w:t>
            </w:r>
          </w:p>
        </w:tc>
        <w:tc>
          <w:tcPr>
            <w:tcW w:type="dxa" w:w="5040"/>
            <w:vAlign w:val="center"/>
          </w:tcPr>
          <w:p>
            <w:pPr>
              <w:spacing w:after="40" w:before="40"/>
            </w:pPr>
            <w:r>
              <w:rPr>
                <w:rFonts w:ascii="Calibri" w:hAnsi="Calibri"/>
                <w:b/>
                <w:sz w:val="19"/>
              </w:rPr>
              <w:t>7.3</w:t>
            </w:r>
          </w:p>
        </w:tc>
      </w:tr>
    </w:tbl>
    <w:p>
      <w:pPr>
        <w:pStyle w:val="Heading1"/>
        <w:spacing w:before="240" w:after="100"/>
      </w:pPr>
      <w:r>
        <w:rPr>
          <w:color w:val="2E74B5"/>
        </w:rPr>
        <w:t>5. Operating controls and escalation</w:t>
      </w:r>
    </w:p>
    <w:p>
      <w:pPr>
        <w:pStyle w:val="ListBullet"/>
        <w:spacing w:after="60"/>
      </w:pPr>
      <w:r>
        <w:t>Confirm source close is complete at the 23:59 JST cutoff.</w:t>
      </w:r>
    </w:p>
    <w:p>
      <w:pPr>
        <w:pStyle w:val="ListBullet"/>
        <w:spacing w:after="60"/>
      </w:pPr>
      <w:r>
        <w:t>Compare channel, region, and category cuts to the authoritative 84.2M total.</w:t>
      </w:r>
    </w:p>
    <w:p>
      <w:pPr>
        <w:pStyle w:val="ListBullet"/>
        <w:spacing w:after="60"/>
      </w:pPr>
      <w:r>
        <w:t>Investigate any difference between gross, recognized refunds, and close value.</w:t>
      </w:r>
    </w:p>
    <w:p>
      <w:pPr>
        <w:pStyle w:val="ListBullet"/>
        <w:spacing w:after="60"/>
      </w:pPr>
      <w:r>
        <w:t>Document exceptions before the 06:00 JST review; escalate unresolved scope or recognition issues to the metric owner.</w:t>
      </w:r>
    </w:p>
    <w:p>
      <w:pPr>
        <w:pStyle w:val="Heading1"/>
        <w:spacing w:before="240" w:after="100"/>
      </w:pPr>
      <w:r>
        <w:rPr>
          <w:color w:val="2E74B5"/>
        </w:rPr>
        <w:t>6. Stewardship</w:t>
      </w:r>
    </w:p>
    <w:p>
      <w:r>
        <w:t>Owner: BI Data Analyst. Review cadence: daily. Change control: any change to eligibility, refund recognition, tax treatment, currency, or time cutoff requires documented approval and a versioned definition update before use in reporting.</w:t>
      </w:r>
    </w:p>
    <w:sectPr w:rsidR="00FC693F" w:rsidRPr="0006063C" w:rsidSect="00034616">
      <w:headerReference w:type="default" r:id="rId9"/>
      <w:footerReference w:type="default" r:id="rId10"/>
      <w:pgSz w:w="12240" w:h="15840"/>
      <w:pgMar w:top="1008"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Internal reference | Fictional training dataset | MTR-09</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color w:val="555C66"/>
        <w:sz w:val="16"/>
      </w:rPr>
      <w:t>MOSAIC RETAIL ANALYTICS  |  METRIC GOVERNANCE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B2545"/>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555C66"/>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Metric Governance Handbook - MTR-09</dc:title>
  <dc:subject/>
  <dc:creator>Mosaic Retail Analytics</dc:creator>
  <cp:keywords/>
  <dc:description>generated by python-docx</dc:description>
  <cp:lastModifiedBy/>
  <cp:revision>1</cp:revision>
  <dcterms:created xsi:type="dcterms:W3CDTF">2013-12-23T23:15:00Z</dcterms:created>
  <dcterms:modified xsi:type="dcterms:W3CDTF">2013-12-23T23:15:00Z</dcterms:modified>
  <cp:category/>
</cp:coreProperties>
</file>