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8C95"/>
          <w:sz w:val="22"/>
        </w:rPr>
        <w:t>MOSAIC RETAIL</w:t>
      </w:r>
    </w:p>
    <w:p>
      <w:r>
        <w:rPr>
          <w:b/>
          <w:color w:val="102A43"/>
          <w:sz w:val="50"/>
        </w:rPr>
        <w:t>Metric Review Minutes</w:t>
      </w:r>
    </w:p>
    <w:p>
      <w:r>
        <w:rPr>
          <w:color w:val="52606D"/>
          <w:sz w:val="24"/>
        </w:rPr>
        <w:t>MTR-09 | FY26 Q3 |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F3F7FA"/>
          </w:tcPr>
          <w:p>
            <w:r/>
            <w:r>
              <w:rPr>
                <w:b/>
                <w:color w:val="102A43"/>
                <w:sz w:val="18"/>
              </w:rPr>
              <w:t>Meeting</w:t>
              <w:br/>
              <w:t>Metric review and reconciliation</w:t>
            </w:r>
          </w:p>
        </w:tc>
        <w:tc>
          <w:tcPr>
            <w:tcW w:type="dxa" w:w="3331"/>
            <w:vAlign w:val="center"/>
            <w:shd w:fill="F3F7FA"/>
          </w:tcPr>
          <w:p>
            <w:r/>
            <w:r>
              <w:rPr>
                <w:b/>
                <w:color w:val="102A43"/>
                <w:sz w:val="18"/>
              </w:rPr>
              <w:t>Metric</w:t>
              <w:br/>
              <w:t>GMV / MTR-09</w:t>
            </w:r>
          </w:p>
        </w:tc>
        <w:tc>
          <w:tcPr>
            <w:tcW w:type="dxa" w:w="3331"/>
            <w:vAlign w:val="center"/>
            <w:shd w:fill="F3F7FA"/>
          </w:tcPr>
          <w:p>
            <w:r/>
            <w:r>
              <w:rPr>
                <w:b/>
                <w:color w:val="102A43"/>
                <w:sz w:val="18"/>
              </w:rPr>
              <w:t>Outcome</w:t>
              <w:br/>
              <w:t>Definition contract ready for approval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r/>
            <w:r>
              <w:rPr>
                <w:b/>
                <w:color w:val="102A43"/>
                <w:sz w:val="18"/>
              </w:rPr>
              <w:t>Actual</w:t>
              <w:br/>
              <w:t>¥84.2M</w:t>
            </w:r>
          </w:p>
        </w:tc>
        <w:tc>
          <w:tcPr>
            <w:tcW w:type="dxa" w:w="3331"/>
            <w:vAlign w:val="center"/>
            <w:shd w:fill="F3F7FA"/>
          </w:tcPr>
          <w:p>
            <w:r/>
            <w:r>
              <w:rPr>
                <w:b/>
                <w:color w:val="102A43"/>
                <w:sz w:val="18"/>
              </w:rPr>
              <w:t>Plan</w:t>
              <w:br/>
              <w:t>¥80.0M</w:t>
            </w:r>
          </w:p>
        </w:tc>
        <w:tc>
          <w:tcPr>
            <w:tcW w:type="dxa" w:w="3331"/>
            <w:vAlign w:val="center"/>
            <w:shd w:fill="F3F7FA"/>
          </w:tcPr>
          <w:p>
            <w:r/>
            <w:r>
              <w:rPr>
                <w:b/>
                <w:color w:val="102A43"/>
                <w:sz w:val="18"/>
              </w:rPr>
              <w:t>Prior</w:t>
              <w:br/>
              <w:t>¥78.6M</w:t>
            </w:r>
          </w:p>
        </w:tc>
      </w:tr>
    </w:tbl>
    <w:p>
      <w:pPr>
        <w:spacing w:before="240" w:after="100"/>
      </w:pPr>
      <w:r>
        <w:rPr>
          <w:b/>
          <w:color w:val="102A43"/>
          <w:sz w:val="30"/>
        </w:rPr>
        <w:t>Attendees</w:t>
      </w:r>
    </w:p>
    <w:p>
      <w:r>
        <w:t>BI Data Analyst (facilitator); Data Engineering; Commercial Operations; Finance partner. All names and data are synthetic for this review artifact.</w:t>
      </w:r>
    </w:p>
    <w:p>
      <w:pPr>
        <w:spacing w:before="240" w:after="100"/>
      </w:pPr>
      <w:r>
        <w:rPr>
          <w:b/>
          <w:color w:val="102A43"/>
          <w:sz w:val="30"/>
        </w:rPr>
        <w:t>Agenda</w:t>
      </w:r>
    </w:p>
    <w:p>
      <w:pPr>
        <w:pStyle w:val="ListBullet"/>
        <w:spacing w:after="60"/>
      </w:pPr>
      <w:r>
        <w:rPr>
          <w:sz w:val="20"/>
        </w:rPr>
        <w:t>Confirm the FY26 Q3 GMV result and variance to plan.</w:t>
      </w:r>
    </w:p>
    <w:p>
      <w:pPr>
        <w:pStyle w:val="ListBullet"/>
        <w:spacing w:after="60"/>
      </w:pPr>
      <w:r>
        <w:rPr>
          <w:sz w:val="20"/>
        </w:rPr>
        <w:t>Reconcile gross sales and refunds into metric MTR-09.</w:t>
      </w:r>
    </w:p>
    <w:p>
      <w:pPr>
        <w:pStyle w:val="ListBullet"/>
        <w:spacing w:after="60"/>
      </w:pPr>
      <w:r>
        <w:rPr>
          <w:sz w:val="20"/>
        </w:rPr>
        <w:t>Agree scope, grain, cutoff, quality checks, and next actions.</w:t>
      </w:r>
    </w:p>
    <w:p>
      <w:pPr>
        <w:spacing w:before="240" w:after="100"/>
      </w:pPr>
      <w:r>
        <w:rPr>
          <w:b/>
          <w:color w:val="102A43"/>
          <w:sz w:val="30"/>
        </w:rPr>
        <w:t>Performance readout</w:t>
      </w:r>
    </w:p>
    <w:p>
      <w:r>
        <w:t>GMV closed at ¥84.2M, ¥4.2M above the ¥80.0M plan and ¥5.6M above the ¥78.6M prior period. The result reconciles to gross sales of ¥86.0M less ¥1.8M in refunds. Daily GMV increased from ¥10.8M to ¥13.2M across the seven-day review window.</w:t>
      </w:r>
    </w:p>
    <w:p>
      <w:pPr>
        <w:spacing w:before="240" w:after="100"/>
      </w:pPr>
      <w:r>
        <w:rPr>
          <w:b/>
          <w:color w:val="102A43"/>
          <w:sz w:val="30"/>
        </w:rPr>
        <w:t>Decisions</w:t>
      </w:r>
    </w:p>
    <w:p>
      <w:pPr>
        <w:pStyle w:val="ListBullet"/>
        <w:spacing w:after="60"/>
      </w:pPr>
      <w:r>
        <w:rPr>
          <w:sz w:val="20"/>
        </w:rPr>
        <w:t>Adopt MTR-09 as completed-order GMV: gross completed order value less refunds.</w:t>
      </w:r>
    </w:p>
    <w:p>
      <w:pPr>
        <w:pStyle w:val="ListBullet"/>
        <w:spacing w:after="60"/>
      </w:pPr>
      <w:r>
        <w:rPr>
          <w:sz w:val="20"/>
        </w:rPr>
        <w:t>Apply refunds to the original order date and use a 23:59 JST business-day cutoff.</w:t>
      </w:r>
    </w:p>
    <w:p>
      <w:pPr>
        <w:pStyle w:val="ListBullet"/>
        <w:spacing w:after="60"/>
      </w:pPr>
      <w:r>
        <w:rPr>
          <w:sz w:val="20"/>
        </w:rPr>
        <w:t>Include Online and Stores; exclude pre-completion cancellations, tax, and shipping.</w:t>
      </w:r>
    </w:p>
    <w:p>
      <w:r>
        <w:br w:type="page"/>
      </w:r>
    </w:p>
    <w:p>
      <w:pPr>
        <w:spacing w:before="240" w:after="100"/>
      </w:pPr>
      <w:r>
        <w:rPr>
          <w:b/>
          <w:color w:val="102A43"/>
          <w:sz w:val="30"/>
        </w:rPr>
        <w:t>Mix and quality observations</w:t>
      </w:r>
    </w:p>
    <w:p>
      <w:r>
        <w:t>Online contributed ¥46.3M and Stores contributed ¥37.9M. Regional GMV was East ¥26.4M, West ¥22.8M, Central ¥18.6M, and North ¥16.4M. Category GMV was Home ¥24.8M, Electronics ¥22.1M, Apparel ¥19.3M, Beauty ¥10.7M, and Other ¥7.3M.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98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98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2498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/>
                <w:color w:val="102A43"/>
                <w:sz w:val="18"/>
              </w:rPr>
              <w:t>Lock MTR-09 definition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102A43"/>
                <w:sz w:val="18"/>
              </w:rPr>
              <w:t>BI Data Analyst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102A43"/>
                <w:sz w:val="18"/>
              </w:rPr>
              <w:t>Jul 15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008C95"/>
                <w:sz w:val="18"/>
              </w:rPr>
              <w:t>In review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/>
                <w:color w:val="102A43"/>
                <w:sz w:val="18"/>
              </w:rPr>
              <w:t>Publish refund QA checks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102A43"/>
                <w:sz w:val="18"/>
              </w:rPr>
              <w:t>Data Engineering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102A43"/>
                <w:sz w:val="18"/>
              </w:rPr>
              <w:t>Jul 17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102A43"/>
                <w:sz w:val="18"/>
              </w:rPr>
              <w:t>Planned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/>
                <w:color w:val="102A43"/>
                <w:sz w:val="18"/>
              </w:rPr>
              <w:t>Review regional drift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102A43"/>
                <w:sz w:val="18"/>
              </w:rPr>
              <w:t>Commercial Ops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102A43"/>
                <w:sz w:val="18"/>
              </w:rPr>
              <w:t>Jul 20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color w:val="102A43"/>
                <w:sz w:val="18"/>
              </w:rPr>
              <w:t>Planned</w:t>
            </w:r>
          </w:p>
        </w:tc>
      </w:tr>
    </w:tbl>
    <w:p>
      <w:pPr>
        <w:spacing w:before="240" w:after="100"/>
      </w:pPr>
      <w:r>
        <w:rPr>
          <w:b/>
          <w:color w:val="102A43"/>
          <w:sz w:val="30"/>
        </w:rPr>
        <w:t>Action detail</w:t>
      </w:r>
    </w:p>
    <w:p>
      <w:pPr>
        <w:pStyle w:val="ListBullet"/>
        <w:spacing w:after="60"/>
      </w:pPr>
      <w:r>
        <w:rPr>
          <w:sz w:val="20"/>
        </w:rPr>
        <w:t>Definition: publish formula, grain, inclusion and exclusion rules, and cutoff in the metric catalog.</w:t>
      </w:r>
    </w:p>
    <w:p>
      <w:pPr>
        <w:pStyle w:val="ListBullet"/>
        <w:spacing w:after="60"/>
      </w:pPr>
      <w:r>
        <w:rPr>
          <w:sz w:val="20"/>
        </w:rPr>
        <w:t>Quality controls: compare gross minus refunds to published GMV, check seven daily totals, and flag late refund events.</w:t>
      </w:r>
    </w:p>
    <w:p>
      <w:pPr>
        <w:pStyle w:val="ListBullet"/>
        <w:spacing w:after="60"/>
      </w:pPr>
      <w:r>
        <w:rPr>
          <w:sz w:val="20"/>
        </w:rPr>
        <w:t>Operating cadence: review exceptions weekly with BI, Finance, Data Engineering, and Commercial Operations.</w:t>
      </w:r>
    </w:p>
    <w:p>
      <w:pPr>
        <w:spacing w:before="240" w:after="100"/>
      </w:pPr>
      <w:r>
        <w:rPr>
          <w:b/>
          <w:color w:val="102A43"/>
          <w:sz w:val="30"/>
        </w:rPr>
        <w:t>Open risk and resolution</w:t>
      </w:r>
    </w:p>
    <w:p>
      <w:r>
        <w:t>Risk: refund posting timing can make trend comparisons non-comparable if it changes by source. Resolution: retain the original order date rule and monitor late-posted refunds as an exception report. This keeps the reported actual stable while exposing operational drift.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Mosaic Retail | MTR-09 metric review minutes | Synthetic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MTR-09 Metric Review Minutes</dc:title>
  <dc:subject/>
  <dc:creator>Mosaic Retail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