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FY26 Q3 Monthly Commentary</w:t>
      </w:r>
    </w:p>
    <w:p>
      <w:pPr>
        <w:jc w:val="center"/>
      </w:pPr>
      <w:r>
        <w:rPr>
          <w:i/>
        </w:rPr>
        <w:t>Mosaic Retail Analytics | 2026-07-13 | metric MTR-09</w:t>
      </w:r>
    </w:p>
    <w:p>
      <w:pPr>
        <w:pStyle w:val="Heading1"/>
      </w:pPr>
      <w:r>
        <w:t>Management perspective</w:t>
      </w:r>
    </w:p>
    <w:p>
      <w:r>
        <w:t>Monthly net GMV reached ¥84.2M, finishing ¥4.2M above the ¥80.0M plan and ¥5.6M above the ¥78.6M prior reference. The result reflects synthetic reporting data prepared for a BI analyst working file.</w:t>
      </w:r>
    </w:p>
    <w:p>
      <w:pPr>
        <w:pStyle w:val="Heading1"/>
      </w:pPr>
      <w:r>
        <w:t>What changed</w:t>
      </w:r>
    </w:p>
    <w:p>
      <w:pPr>
        <w:pStyle w:val="ListBullet"/>
      </w:pPr>
      <w:r>
        <w:t>Gross GMV was ¥86.0M and refunds were ¥1.8M, producing the reconciled net result.</w:t>
      </w:r>
    </w:p>
    <w:p>
      <w:pPr>
        <w:pStyle w:val="ListBullet"/>
      </w:pPr>
      <w:r>
        <w:t>Daily GMV rose from ¥10.8M on Jul 7 to ¥13.2M on Jul 13.</w:t>
      </w:r>
    </w:p>
    <w:p>
      <w:pPr>
        <w:pStyle w:val="ListBullet"/>
      </w:pPr>
      <w:r>
        <w:t>Online contributed ¥46.3M, while Stores delivered ¥37.9M.</w:t>
      </w:r>
    </w:p>
    <w:p>
      <w:pPr>
        <w:pStyle w:val="Heading1"/>
      </w:pPr>
      <w:r>
        <w:t>Mix and accountability</w:t>
      </w:r>
    </w:p>
    <w:tbl>
      <w:tblPr>
        <w:tblStyle w:val="TableGrid"/>
        <w:tblW w:type="auto" w:w="0"/>
        <w:tblLook w:firstColumn="1" w:firstRow="1" w:lastColumn="0" w:lastRow="0" w:noHBand="0" w:noVBand="1" w:val="04A0"/>
      </w:tblPr>
      <w:tblGrid>
        <w:gridCol w:w="3264"/>
        <w:gridCol w:w="3264"/>
        <w:gridCol w:w="3264"/>
      </w:tblGrid>
      <w:tr>
        <w:tc>
          <w:tcPr>
            <w:tcW w:type="dxa" w:w="3264"/>
          </w:tcPr>
          <w:p>
            <w:r>
              <w:t>Lens</w:t>
            </w:r>
          </w:p>
        </w:tc>
        <w:tc>
          <w:tcPr>
            <w:tcW w:type="dxa" w:w="3264"/>
          </w:tcPr>
          <w:p>
            <w:r>
              <w:t>Leading contribution</w:t>
            </w:r>
          </w:p>
        </w:tc>
        <w:tc>
          <w:tcPr>
            <w:tcW w:type="dxa" w:w="3264"/>
          </w:tcPr>
          <w:p>
            <w:r>
              <w:t>Read-through</w:t>
            </w:r>
          </w:p>
        </w:tc>
      </w:tr>
      <w:tr>
        <w:tc>
          <w:tcPr>
            <w:tcW w:type="dxa" w:w="3264"/>
          </w:tcPr>
          <w:p>
            <w:r>
              <w:t>Region</w:t>
            </w:r>
          </w:p>
        </w:tc>
        <w:tc>
          <w:tcPr>
            <w:tcW w:type="dxa" w:w="3264"/>
          </w:tcPr>
          <w:p>
            <w:r>
              <w:t>East ¥26.4M</w:t>
            </w:r>
          </w:p>
        </w:tc>
        <w:tc>
          <w:tcPr>
            <w:tcW w:type="dxa" w:w="3264"/>
          </w:tcPr>
          <w:p>
            <w:r>
              <w:t>Largest regional contribution</w:t>
            </w:r>
          </w:p>
        </w:tc>
      </w:tr>
      <w:tr>
        <w:tc>
          <w:tcPr>
            <w:tcW w:type="dxa" w:w="3264"/>
          </w:tcPr>
          <w:p>
            <w:r>
              <w:t>Category</w:t>
            </w:r>
          </w:p>
        </w:tc>
        <w:tc>
          <w:tcPr>
            <w:tcW w:type="dxa" w:w="3264"/>
          </w:tcPr>
          <w:p>
            <w:r>
              <w:t>Home ¥24.8M</w:t>
            </w:r>
          </w:p>
        </w:tc>
        <w:tc>
          <w:tcPr>
            <w:tcW w:type="dxa" w:w="3264"/>
          </w:tcPr>
          <w:p>
            <w:r>
              <w:t>Largest category contribution</w:t>
            </w:r>
          </w:p>
        </w:tc>
      </w:tr>
      <w:tr>
        <w:tc>
          <w:tcPr>
            <w:tcW w:type="dxa" w:w="3264"/>
          </w:tcPr>
          <w:p>
            <w:r>
              <w:t>Quality</w:t>
            </w:r>
          </w:p>
        </w:tc>
        <w:tc>
          <w:tcPr>
            <w:tcW w:type="dxa" w:w="3264"/>
          </w:tcPr>
          <w:p>
            <w:r>
              <w:t>Reconciled</w:t>
            </w:r>
          </w:p>
        </w:tc>
        <w:tc>
          <w:tcPr>
            <w:tcW w:type="dxa" w:w="3264"/>
          </w:tcPr>
          <w:p>
            <w:r>
              <w:t>Gross less refunds equals net</w:t>
            </w:r>
          </w:p>
        </w:tc>
      </w:tr>
    </w:tbl>
    <w:p>
      <w:r>
        <w:br w:type="page"/>
      </w:r>
    </w:p>
    <w:p>
      <w:pPr>
        <w:pStyle w:val="Heading1"/>
      </w:pPr>
      <w:r>
        <w:t>Interpretation for the next review</w:t>
      </w:r>
    </w:p>
    <w:p>
      <w:r>
        <w:t>The next review should preserve the distinction between gross demand, refunds, and net GMV. The visible plan variance is positive, but the control view should remain focused on whether daily sources and monthly totals agree.</w:t>
      </w:r>
    </w:p>
    <w:p>
      <w:pPr>
        <w:pStyle w:val="Heading1"/>
      </w:pPr>
      <w:r>
        <w:t>Recommended discussion prompts</w:t>
      </w:r>
    </w:p>
    <w:p>
      <w:pPr>
        <w:pStyle w:val="ListBullet"/>
      </w:pPr>
      <w:r>
        <w:t>Validate whether Online and Stores are using the same monthly cutoff.</w:t>
      </w:r>
    </w:p>
    <w:p>
      <w:pPr>
        <w:pStyle w:val="ListBullet"/>
      </w:pPr>
      <w:r>
        <w:t>Review the refund rate against the 3.0% control threshold.</w:t>
      </w:r>
    </w:p>
    <w:p>
      <w:pPr>
        <w:pStyle w:val="ListBullet"/>
      </w:pPr>
      <w:r>
        <w:t>Use the region and category detail workbooks to explain movement rather than re-keying values.</w:t>
      </w:r>
    </w:p>
    <w:p>
      <w:pPr>
        <w:pStyle w:val="ListBullet"/>
      </w:pPr>
      <w:r>
        <w:t>Keep the reporting date and metric label attached to future extracts.</w:t>
      </w:r>
    </w:p>
    <w:p>
      <w:pPr>
        <w:pStyle w:val="Heading1"/>
      </w:pPr>
      <w:r>
        <w:t>Method note</w:t>
      </w:r>
    </w:p>
    <w:p>
      <w:r>
        <w:t>All names, amounts, and observations in this commentary are synthetic. No customer, employee, or production-system data is represented.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