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performance commentary</w:t>
      </w:r>
    </w:p>
    <w:p>
      <w:pPr>
        <w:pStyle w:val="Subtitle"/>
      </w:pPr>
      <w:r>
        <w:t>FY26 Q3 | 2026-07-13 | GMV ¥84.2M | metric MTR-09</w:t>
      </w:r>
    </w:p>
    <w:p>
      <w:pPr>
        <w:pStyle w:val="Heading1"/>
      </w:pPr>
      <w:r>
        <w:t>Executive readout</w:t>
      </w:r>
    </w:p>
    <w:p>
      <w:r>
        <w:t>Mosaic Retail completed the weekly operating review against a controlled synthetic warehouse extract. Actual GMV ¥84.2M is compared with plan ¥80.0M and prior ¥78.6M; the weekly bridge remains reconciled to MTR-09.</w:t>
      </w:r>
    </w:p>
    <w:p>
      <w:pPr>
        <w:pStyle w:val="Heading1"/>
      </w:pPr>
      <w:r>
        <w:t>What changed this week</w:t>
      </w:r>
    </w:p>
    <w:p>
      <w:pPr>
        <w:pStyle w:val="ListBullet"/>
      </w:pPr>
      <w:r>
        <w:t>Daily GMV rises from ¥10.8M on 2026-07-07 to ¥13.2M on 2026-07-13.</w:t>
      </w:r>
    </w:p>
    <w:p>
      <w:pPr>
        <w:pStyle w:val="ListBullet"/>
      </w:pPr>
      <w:r>
        <w:t>Online ¥46.3M and stores ¥37.9M reconcile to actual.</w:t>
      </w:r>
    </w:p>
    <w:p>
      <w:pPr>
        <w:pStyle w:val="ListBullet"/>
      </w:pPr>
      <w:r>
        <w:t>East ¥26.4M and West ¥22.8M are the largest regional contributions.</w:t>
      </w:r>
    </w:p>
    <w:p>
      <w:pPr>
        <w:pStyle w:val="ListBullet"/>
      </w:pPr>
      <w:r>
        <w:t>Two late-arrival checks remain visible in the exception tracker.</w:t>
      </w:r>
    </w:p>
    <w:p>
      <w:pPr>
        <w:pStyle w:val="Heading1"/>
      </w:pPr>
      <w:r>
        <w:t>Decision and ownership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Owner</w:t>
            </w:r>
          </w:p>
        </w:tc>
        <w:tc>
          <w:tcPr>
            <w:tcW w:type="dxa" w:w="3312"/>
          </w:tcPr>
          <w:p>
            <w:r>
              <w:t>Due</w:t>
            </w:r>
          </w:p>
        </w:tc>
      </w:tr>
      <w:tr>
        <w:tc>
          <w:tcPr>
            <w:tcW w:type="dxa" w:w="3312"/>
          </w:tcPr>
          <w:p>
            <w:r>
              <w:t>Publish reconciled weekly view</w:t>
            </w:r>
          </w:p>
        </w:tc>
        <w:tc>
          <w:tcPr>
            <w:tcW w:type="dxa" w:w="3312"/>
          </w:tcPr>
          <w:p>
            <w:r>
              <w:t>BI Reporting</w:t>
            </w:r>
          </w:p>
        </w:tc>
        <w:tc>
          <w:tcPr>
            <w:tcW w:type="dxa" w:w="3312"/>
          </w:tcPr>
          <w:p>
            <w:r>
              <w:t>2026-07-14</w:t>
            </w:r>
          </w:p>
        </w:tc>
      </w:tr>
      <w:tr>
        <w:tc>
          <w:tcPr>
            <w:tcW w:type="dxa" w:w="3312"/>
          </w:tcPr>
          <w:p>
            <w:r>
              <w:t>Validate late arrivals</w:t>
            </w:r>
          </w:p>
        </w:tc>
        <w:tc>
          <w:tcPr>
            <w:tcW w:type="dxa" w:w="3312"/>
          </w:tcPr>
          <w:p>
            <w:r>
              <w:t>Data Operations</w:t>
            </w:r>
          </w:p>
        </w:tc>
        <w:tc>
          <w:tcPr>
            <w:tcW w:type="dxa" w:w="3312"/>
          </w:tcPr>
          <w:p>
            <w:r>
              <w:t>2026-07-15</w:t>
            </w:r>
          </w:p>
        </w:tc>
      </w:tr>
      <w:tr>
        <w:tc>
          <w:tcPr>
            <w:tcW w:type="dxa" w:w="3312"/>
          </w:tcPr>
          <w:p>
            <w:r>
              <w:t>Confirm metric definition</w:t>
            </w:r>
          </w:p>
        </w:tc>
        <w:tc>
          <w:tcPr>
            <w:tcW w:type="dxa" w:w="3312"/>
          </w:tcPr>
          <w:p>
            <w:r>
              <w:t>Analytics Lead</w:t>
            </w:r>
          </w:p>
        </w:tc>
        <w:tc>
          <w:tcPr>
            <w:tcW w:type="dxa" w:w="3312"/>
          </w:tcPr>
          <w:p>
            <w:r>
              <w:t>2026-07-16</w:t>
            </w:r>
          </w:p>
        </w:tc>
      </w:tr>
    </w:tbl>
    <w:p>
      <w:r>
        <w:br w:type="page"/>
      </w:r>
    </w:p>
    <w:p>
      <w:pPr>
        <w:pStyle w:val="Title"/>
      </w:pPr>
      <w:r>
        <w:t>Metric and control notes</w:t>
      </w:r>
    </w:p>
    <w:p>
      <w:r>
        <w:t>The reported GMV is synthetic, is not a live sales record, and is used only to demonstrate a consistent BI review workflow.</w:t>
      </w:r>
    </w:p>
    <w:p>
      <w:pPr>
        <w:pStyle w:val="Heading1"/>
      </w:pPr>
      <w:r>
        <w:t>MTR-09 interpretation</w:t>
      </w:r>
    </w:p>
    <w:p>
      <w:r>
        <w:t>metric MTR-09 denotes the controlled gross-merchandise-value reporting measure, connecting actual ¥84.2M, plan ¥80.0M, prior ¥78.6M, daily, channel, regional, and exception lenses.</w:t>
      </w:r>
    </w:p>
    <w:p>
      <w:pPr>
        <w:pStyle w:val="Heading1"/>
      </w:pPr>
      <w:r>
        <w:t>Review checklist</w:t>
      </w:r>
    </w:p>
    <w:p>
      <w:pPr>
        <w:pStyle w:val="ListBullet"/>
      </w:pPr>
      <w:r>
        <w:t>Reconcile GMV totals to the warehouse export.</w:t>
      </w:r>
    </w:p>
    <w:p>
      <w:pPr>
        <w:pStyle w:val="ListBullet"/>
      </w:pPr>
      <w:r>
        <w:t>Confirm owner and due date for each exception.</w:t>
      </w:r>
    </w:p>
    <w:p>
      <w:pPr>
        <w:pStyle w:val="ListBullet"/>
      </w:pPr>
      <w:r>
        <w:t>Record a decision when a variance requires an operating response.</w:t>
      </w:r>
    </w:p>
    <w:p>
      <w:pPr>
        <w:pStyle w:val="ListBullet"/>
      </w:pPr>
      <w:r>
        <w:t>Retain this commentary with the weekly review package.</w:t>
      </w:r>
    </w:p>
    <w:p>
      <w:pPr>
        <w:pStyle w:val="Caption"/>
      </w:pPr>
      <w:r>
        <w:t>Mosaic Retail | FY26 Q3 | 2026-07-13 | GMV ¥84.2M | metric MTR-09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synthetic BI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MOSAIC RETAIL ANALYTICS  |  WEEKLY PERFORMANCE COMMENTARY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