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6B78"/>
        </w:rPr>
        <w:t xml:space="preserve">2026 07 20 Closed Record Case Closure Review Document Docx </w:t>
      </w:r>
    </w:p>
    <w:p>
      <w:r>
        <w:t>Cobalt Harbor Systems | Aegis Assurance | Closed record review</w:t>
      </w:r>
    </w:p>
    <w:p>
      <w:pPr>
        <w:pStyle w:val="Heading1"/>
      </w:pPr>
      <w:r>
        <w:t>Purpose</w:t>
      </w:r>
    </w:p>
    <w:p>
      <w:r>
        <w:t>Closed synthetic record for p03-full-000132; documents the final disposition of CASE-260713-184 under Aegis Control AC-27.</w:t>
      </w:r>
    </w:p>
    <w:p>
      <w:pPr>
        <w:pStyle w:val="Heading1"/>
      </w:pPr>
      <w:r>
        <w:t>Evidence basis</w:t>
      </w:r>
    </w:p>
    <w:p>
      <w:r>
        <w:t>Dependency record(s): p03-full-001496. Evidence set 184 contains 24 synthetic items; 48 privileged-role records were reviewed.</w:t>
      </w:r>
    </w:p>
    <w:p>
      <w:pPr>
        <w:pStyle w:val="Heading1"/>
      </w:pPr>
      <w:r>
        <w:t>Disposition</w:t>
      </w:r>
    </w:p>
    <w:p>
      <w:r>
        <w:t>RISK-031 remains residual Medium after compensating review. Retain the bounded evidence set for at least 18 months under the synthetic GRC schedule.</w:t>
      </w:r>
    </w:p>
    <w:p>
      <w:pPr>
        <w:pStyle w:val="Heading1"/>
      </w:pPr>
      <w:r>
        <w:t>Closure check</w:t>
      </w:r>
    </w:p>
    <w:p>
      <w:r>
        <w:t>The 2026-07-20 follow-up confirms checksum reconciliation and action-owner acknowledgement. This file makes no Kio indexing, history, search, or performance claim.</w:t>
      </w:r>
    </w:p>
    <w:p>
      <w:r>
        <w:t>Synthetic defensive GRC evidence only; no Kio indexing, history, chunk, search-quality, or performance claim.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