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AC-27 Personal GRC Review Document</ns0:t>
      </ns0:r>
    </ns0:p>
    <ns0:p>
      <ns0:r>
        <ns0:rPr>
          <ns0:i/>
          <ns0:color ns0:val="1F4D78"/>
        </ns0:rPr>
        <ns0:t>Review-Calendar Coordination | 2026-07-13 | p03-full-008754</ns0:t>
      </ns0:r>
    </ns0:p>
    <ns0:p>
      <ns0:r>
        <ns0:rPr>
          <ns0:b/>
        </ns0:rPr>
        <ns0:t xml:space="preserve">Decision summary. </ns0:t>
      </ns0:r>
      <ns0:r>
        <ns0:t>This internal synthetic review links p03-full-001852 to the AC-27 evidence chain. It records the bounded governance basis for review-calendar coordination; it does not assert access to a live system, incident, or Kio capability.</ns0:t>
      </ns0:r>
    </ns0:p>
    <ns0:p>
      <ns0:pPr>
        <ns0:pStyle ns0:val="Heading1"/>
      </ns0:pPr>
      <ns0:r>
        <ns0:t>Review basis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896"/>
            <ns0:shd ns0:fill="17365D"/>
          </ns0:tcPr>
          <ns0:p>
            <ns0:r>
              <ns0:rPr>
                <ns0:b/>
                <ns0:color ns0:val="FFFFFF"/>
              </ns0:rPr>
              <ns0:t>Recorded basis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Artifact review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2026-07-13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 source period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2026 Q3 review period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working purpose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capture a non-operational assurance observation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review focus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residual-risk statement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Dependency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p03-full-001852 | csv_tsv | a1e580e03aea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traceability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org.cobalt-harbor = Cobalt Harbor Systems (CHS), a fictional managed logistics and harbor-operations platform | measure.timely-attestation = Timely attestation rate before compensating review: 97.9% (47 of 48) | period.2026-q3 = Governance planning period from 2026-07-01 through 2026-09-30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conclusion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For the 2026 Q3 review period, this working file captures a non-operational assurance observation focused on residual-risk statement; it supports a Medium residual-risk conclusion without asserting live-system access.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Action linkage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ACT-260713-011 completed 2026-07-15; preserve the completion register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sz ns0:val="15"/>
              </ns0:rPr>
              <ns0:t>Source boundary</ns0:t>
            </ns0:r>
          </ns0:p>
        </ns0:tc>
        <ns0:tc>
          <ns0:tcPr>
            <ns0:tcW ns0:type="dxa" ns0:w="4896"/>
          </ns0:tcPr>
          <ns0:p>
            <ns0:r>
              <ns0:rPr>
                <ns0:sz ns0:val="15"/>
              </ns0:rPr>
              <ns0:t>1151 bytes of scope-local synthetic source; no live-system or Kio claim</ns0:t>
            </ns0:r>
          </ns0:p>
        </ns0:tc>
      </ns0:tr>
    </ns0:tbl>
    <ns0:p>
      <ns0:pPr>
        <ns0:pStyle ns0:val="Heading1"/>
      </ns0:pPr>
      <ns0:r>
        <ns0:t>Assessment and disposition</ns0:t>
      </ns0:r>
    </ns0:p>
    <ns0:p>
      <ns0:r>
        <ns0:t>The source's purpose is to capture a non-operational assurance observation and its requested focus is residual-risk statement. This document's specific decision lens is document the residual-risk rationale to the case timeline and maintain role separation. It reconciles that lens with 47/48 (97.9%) timely attestations and 48/48 (100.0%) final completion. The source conclusion is adopted without expansion: For the 2026 Q3 review period, this working file captures a non-operational assurance observation focused on residual-risk statement; it supports a Medium residual-risk conclusion without asserting live-system access.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  <ns0:spacing ns0:after="40"/>
      </ns0:pPr>
      <ns0:r>
        <ns0:t>Use the source traceability exactly as recorded: org.cobalt-harbor; measure.timely-attestation; rel.risk-031.treatment; period.2026-q3; term.no-kio-claim.</ns0:t>
      </ns0:r>
    </ns0:p>
    <ns0:p>
      <ns0:pPr>
        <ns0:pStyle ns0:val="ListBullet"/>
        <ns0:spacing ns0:after="40"/>
      </ns0:pPr>
      <ns0:r>
        <ns0:t>Complete the source-specific review focus: residual-risk statement.</ns0:t>
      </ns0:r>
    </ns0:p>
    <ns0:p>
      <ns0:pPr>
        <ns0:pStyle ns0:val="ListBullet"/>
        <ns0:spacing ns0:after="40"/>
      </ns0:pPr>
      <ns0:r>
        <ns0:t>Maintain the evidence-set 184 and action ACT-260713-011 linkage without changing the recorded conclusion.</ns0:t>
      </ns0:r>
    </ns0:p>
    <ns0:p>
      <ns0:pPr>
        <ns0:pStyle ns0:val="ListBullet"/>
        <ns0:spacing ns0:after="40"/>
      </ns0:pPr>
      <ns0:r>
        <ns0:t>Use this document only as synthetic physical-artifact evidence; no indexing, history, search, chunk, or performance conclusion follows.</ns0:t>
      </ns0:r>
    </ns0:p>
    <ns0:p>
      <ns0:r>
        <ns0:t>Artifact trace: p03-full-008754; source linkage: p03-full-001852; reviewed under CASE-260713-184.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QAV2TraceabilityTable"/>
        <ns0:tblW ns0:type="dxa" ns0:w="9000"/>
        <ns0:tblLayout ns0:type="fixed"/>
        <ns0:tblLook ns0:firstColumn="1" ns0:firstRow="1" ns0:lastColumn="0" ns0:lastRow="0" ns0:noHBand="0" ns0:noVBand="1" ns0:val="04A0"/>
        <ns0:tblBorders>
          <ns0:top ns0:val="single" ns0:sz="4" ns0:space="0" ns0:color="9DB2CE"/>
          <ns0:left ns0:val="single" ns0:sz="4" ns0:space="0" ns0:color="9DB2CE"/>
          <ns0:bottom ns0:val="single" ns0:sz="4" ns0:space="0" ns0:color="9DB2CE"/>
          <ns0:right ns0:val="single" ns0:sz="4" ns0:space="0" ns0:color="9DB2CE"/>
          <ns0:insideH ns0:val="single" ns0:sz="4" ns0:space="0" ns0:color="9DB2CE"/>
          <ns0:insideV ns0:val="single" ns0:sz="4" ns0:space="0" ns0:color="9DB2CE"/>
        </ns0:tblBorders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p03-full-008754 is recorded against source p03-src-008754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p03-full-001852 (source p03-src-001852);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08" ns0:right="1224" ns0:bottom="1008" ns0:left="1224" ns0:header="504" ns0:footer="504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AC-27 Personal GRC Review Document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p03-full-008754</dc:description>
  <ns0:lastModifiedBy/>
  <ns0:revision>1</ns0:revision>
  <ns2:created xsi:type="dcterms:W3CDTF">2013-12-23T23:15:00Z</ns2:created>
  <ns2:modified xsi:type="dcterms:W3CDTF">2013-12-23T23:15:00Z</ns2:modified>
  <ns0:category/>
</ns0:coreProperties>
</file>