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Review-Calendar Coordination | 2026-07-14 | p03-full-008654</w:t>
      </w:r>
    </w:p>
    <w:p>
      <w:r>
        <w:rPr>
          <w:b/>
        </w:rPr>
        <w:t xml:space="preserve">Decision summary. </w:t>
      </w:r>
      <w:r>
        <w:t>This internal synthetic review links p03-full-000596 to the AC-27 evidence chain. It records the bounded governance basis for review-calendar coordination;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2026-07-14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2026-07-13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compare a bounded control measure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residual-risk statement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p03-full-000596 | csv_tsv | 95d83168168c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action.act-260713-011 = Publish an AC-27 reviewer-completion register; completed 2026-07-15 | date.2026-07-13 = Primary review date; bounded evidence intake opens 08:30 UTC and AC-27 review closes 16:45 UTC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2026-07-13, this working file compare a bounded control measure focused on residual-risk statement;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1166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compare a bounded control measure and its requested focus is residual-risk statement. This document's specific decision lens is document the action-owner acknowledgement to the case timeline and maintain role separation. It reconciles that lens with 47/48 (97.9%) timely attestations and 48/48 (100.0%) final completion. The source conclusion is adopted without expansion: For 2026-07-13, this working file compare a bounded control measure focused on residual-risk statement;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action.act-260713-011; rel.risk-031.treatment; date.2026-07-13; term.no-kio-claim.</w:t>
      </w:r>
    </w:p>
    <w:p>
      <w:pPr>
        <w:pStyle w:val="ListBullet"/>
        <w:spacing w:after="40"/>
      </w:pPr>
      <w:r>
        <w:t>Complete the source-specific review focus: residual-risk statement.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p03-full-008654; source linkage: p03-full-000596;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2026-07-14.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p03-full-008654 is recorded against source p03-src-008654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p03-full-000596 (source p03-src-000596);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p03-full-008654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