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Review-Calendar Coordination | 2026-07-20 | p03-full-009054</ns0:t>
      </ns0:r>
    </ns0:p>
    <ns0:p>
      <ns0:r>
        <ns0:rPr>
          <ns0:b/>
        </ns0:rPr>
        <ns0:t xml:space="preserve">Decision summary. </ns0:t>
      </ns0:r>
      <ns0:r>
        <ns0:t>This internal synthetic review links p03-full-001852 to the AC-27 evidence chain. It records the bounded governance basis for review-calendar coordination;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2026-07-20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capture a non-operational assurance observation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residual-risk statement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p03-full-001852 | csv_tsv | a1e580e03aea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measure.timely-attestation = Timely attestation rate before compensating review: 97.9% (47 of 48) | period.2026-q3 = Governance planning period from 2026-07-01 through 2026-09-30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the 2026 Q3 review period, this working file captures a non-operational assurance observation focused on residual-risk statement;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1151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capture a non-operational assurance observation and its requested focus is residual-risk statement. This document's specific decision lens is preserve the timely-attestation measure to the case timeline and maintain role separation. It reconciles that lens with 47/48 (97.9%) timely attestations and 48/48 (100.0%) final completion. The source conclusion is adopted without expansion: For the 2026 Q3 review period, this working file captures a non-operational assurance observation focused on residual-risk statement;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measure.timely-attestation; rel.risk-031.treatment; period.2026-q3; term.no-kio-claim.</ns0:t>
      </ns0:r>
    </ns0:p>
    <ns0:p>
      <ns0:pPr>
        <ns0:pStyle ns0:val="ListBullet"/>
        <ns0:spacing ns0:after="40"/>
      </ns0:pPr>
      <ns0:r>
        <ns0:t>Complete the source-specific review focus: residual-risk statement.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p03-full-009054; source linkage: p03-full-001852;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p03-full-009054 is recorded against source p03-src-009054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p03-full-001852 (source p03-src-001852);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p03-full-009054</dc:description>
  <ns0:lastModifiedBy/>
  <ns0:revision>1</ns0:revision>
  <ns2:created xsi:type="dcterms:W3CDTF">2013-12-23T23:15:00Z</ns2:created>
  <ns2:modified xsi:type="dcterms:W3CDTF">2013-12-23T23:15:00Z</ns2:modified>
  <ns0:category/>
</ns0:coreProperties>
</file>