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 Q3 review period | p03-full-006754</ns0:t>
      </ns0:r>
    </ns0:p>
    <ns0:p>
      <ns0:r>
        <ns0:rPr>
          <ns0:b/>
        </ns0:rPr>
        <ns0:t xml:space="preserve">Decision summary. </ns0:t>
      </ns0:r>
      <ns0:r>
        <ns0:t>This internal synthetic review links p03-full-004324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2026-07-15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document a review handoff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exception disposition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p03-full-004324 | csv_tsv | 6cf78e6116ef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date.2026-07-15 = Control owner validates the remediation plan and retention disposition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2026-07-15, this working file document a review handoff focused on exception disposition;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1133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document a review handoff and its requested focus is exception disposition. This document's specific decision lens is validate the residual-risk rationale to the case timeline and maintain role separation. It reconciles that lens with 47/48 (97.9%) timely attestations and 48/48 (100.0%) final completion. The source conclusion is adopted without expansion: For 2026-07-15, this working file document a review handoff focused on exception disposition;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date.2026-07-15; term.no-kio-claim.</ns0:t>
      </ns0:r>
    </ns0:p>
    <ns0:p>
      <ns0:pPr>
        <ns0:pStyle ns0:val="ListBullet"/>
        <ns0:spacing ns0:after="40"/>
      </ns0:pPr>
      <ns0:r>
        <ns0:t>Complete the source-specific review focus: exception disposition.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p03-full-006754; source linkage: p03-full-004324;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p03-full-006754 is recorded against source p03-src-006754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p03-full-004324 (source p03-src-004324);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p03-full-006754</dc:description>
  <ns0:lastModifiedBy/>
  <ns0:revision>1</ns0:revision>
  <ns2:created xsi:type="dcterms:W3CDTF">2013-12-23T23:15:00Z</ns2:created>
  <ns2:modified xsi:type="dcterms:W3CDTF">2013-12-23T23:15:00Z</ns2:modified>
  <ns0:category/>
</ns0:coreProperties>
</file>