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5A7A"/>
          <w:sz w:val="18"/>
        </w:rPr>
        <w:t>REVIEW NOTE</w:t>
      </w:r>
    </w:p>
    <w:p>
      <w:pPr>
        <w:spacing w:after="100"/>
      </w:pPr>
      <w:r>
        <w:rPr>
          <w:rFonts w:ascii="Calibri" w:hAnsi="Calibri"/>
          <w:b/>
          <w:color w:val="12354A"/>
          <w:sz w:val="36"/>
        </w:rPr>
        <w:t>AC-27 Evidence Decision Record</w:t>
      </w:r>
    </w:p>
    <w:p>
      <w:pPr>
        <w:spacing w:after="180"/>
      </w:pPr>
      <w:r>
        <w:rPr>
          <w:rFonts w:ascii="Calibri" w:hAnsi="Calibri"/>
          <w:b w:val="0"/>
          <w:color w:val="373737"/>
          <w:sz w:val="22"/>
        </w:rPr>
        <w:t>Can the handoff package be accepted before the normalization checksum is acknowledged?</w:t>
      </w:r>
    </w:p>
    <w:p>
      <w:pPr>
        <w:spacing w:after="40" w:line="252" w:lineRule="auto"/>
      </w:pPr>
      <w:r>
        <w:rPr>
          <w:rFonts w:ascii="Calibri" w:hAnsi="Calibri"/>
          <w:b/>
          <w:color w:val="143D59"/>
          <w:sz w:val="20"/>
        </w:rPr>
        <w:t xml:space="preserve">Target artifact: </w:t>
      </w:r>
      <w:r>
        <w:rPr>
          <w:rFonts w:ascii="Calibri" w:hAnsi="Calibri"/>
          <w:b w:val="0"/>
          <w:sz w:val="20"/>
        </w:rPr>
        <w:t>p03-full-000212</w:t>
      </w:r>
    </w:p>
    <w:p>
      <w:pPr>
        <w:spacing w:after="40" w:line="252" w:lineRule="auto"/>
      </w:pPr>
      <w:r>
        <w:rPr>
          <w:rFonts w:ascii="Calibri" w:hAnsi="Calibri"/>
          <w:b/>
          <w:color w:val="143D59"/>
          <w:sz w:val="20"/>
        </w:rPr>
        <w:t xml:space="preserve">Target review date: </w:t>
      </w:r>
      <w:r>
        <w:rPr>
          <w:rFonts w:ascii="Calibri" w:hAnsi="Calibri"/>
          <w:b w:val="0"/>
          <w:sz w:val="20"/>
        </w:rPr>
        <w:t>2026-07-13</w:t>
      </w:r>
    </w:p>
    <w:p>
      <w:pPr>
        <w:spacing w:after="40" w:line="252" w:lineRule="auto"/>
      </w:pPr>
      <w:r>
        <w:rPr>
          <w:rFonts w:ascii="Calibri" w:hAnsi="Calibri"/>
          <w:b/>
          <w:color w:val="143D59"/>
          <w:sz w:val="20"/>
        </w:rPr>
        <w:t xml:space="preserve">Source dependency: </w:t>
      </w:r>
      <w:r>
        <w:rPr>
          <w:rFonts w:ascii="Calibri" w:hAnsi="Calibri"/>
          <w:b w:val="0"/>
          <w:sz w:val="20"/>
        </w:rPr>
        <w:t>p03-full-002179</w:t>
      </w:r>
    </w:p>
    <w:p>
      <w:pPr>
        <w:spacing w:after="40" w:line="252" w:lineRule="auto"/>
      </w:pPr>
      <w:r>
        <w:rPr>
          <w:rFonts w:ascii="Calibri" w:hAnsi="Calibri"/>
          <w:b/>
          <w:color w:val="143D59"/>
          <w:sz w:val="20"/>
        </w:rPr>
        <w:t xml:space="preserve">Source record date: </w:t>
      </w:r>
      <w:r>
        <w:rPr>
          <w:rFonts w:ascii="Calibri" w:hAnsi="Calibri"/>
          <w:b w:val="0"/>
          <w:sz w:val="20"/>
        </w:rPr>
        <w:t>2026-07-14</w:t>
      </w:r>
    </w:p>
    <w:p>
      <w:pPr>
        <w:spacing w:after="40" w:line="252" w:lineRule="auto"/>
      </w:pPr>
      <w:r>
        <w:rPr>
          <w:rFonts w:ascii="Calibri" w:hAnsi="Calibri"/>
          <w:b/>
          <w:color w:val="143D59"/>
          <w:sz w:val="20"/>
        </w:rPr>
        <w:t xml:space="preserve">Source filename: </w:t>
      </w:r>
      <w:r>
        <w:rPr>
          <w:rFonts w:ascii="Calibri" w:hAnsi="Calibri"/>
          <w:b w:val="0"/>
          <w:sz w:val="20"/>
        </w:rPr>
        <w:t>2026-07-14-team-assurance-decision-summary-evidence-metrics-csv-s002179.csv</w:t>
      </w:r>
    </w:p>
    <w:p>
      <w:pPr>
        <w:spacing w:after="40" w:line="252" w:lineRule="auto"/>
      </w:pPr>
      <w:r>
        <w:rPr>
          <w:rFonts w:ascii="Calibri" w:hAnsi="Calibri"/>
          <w:b/>
          <w:color w:val="143D59"/>
          <w:sz w:val="20"/>
        </w:rPr>
        <w:t xml:space="preserve">Source slot: </w:t>
      </w:r>
      <w:r>
        <w:rPr>
          <w:rFonts w:ascii="Calibri" w:hAnsi="Calibri"/>
          <w:b w:val="0"/>
          <w:sz w:val="20"/>
        </w:rPr>
        <w:t>002179</w:t>
      </w:r>
    </w:p>
    <w:tbl>
      <w:tblPr>
        <w:tblW w:type="auto" w:w="0"/>
        <w:jc w:val="left"/>
        <w:tblLayout w:type="fixed"/>
        <w:tblLook w:firstColumn="1" w:firstRow="1" w:lastColumn="0" w:lastRow="0" w:noHBand="0" w:noVBand="1" w:val="04A0"/>
      </w:tblPr>
      <w:tblGrid>
        <w:gridCol w:w="2880"/>
        <w:gridCol w:w="5616"/>
      </w:tblGrid>
      <w:tr>
        <w:tc>
          <w:tcPr>
            <w:tcW w:type="dxa" w:w="2880"/>
            <w:vAlign w:val="center"/>
            <w:shd w:fill="E8EEF5"/>
          </w:tcPr>
          <w:p>
            <w:r>
              <w:rPr>
                <w:rFonts w:ascii="Calibri" w:hAnsi="Calibri"/>
                <w:b/>
                <w:color w:val="143D59"/>
                <w:sz w:val="18"/>
              </w:rPr>
              <w:t>Parsed evidence field</w:t>
            </w:r>
          </w:p>
        </w:tc>
        <w:tc>
          <w:tcPr>
            <w:tcW w:type="dxa" w:w="5616"/>
            <w:vAlign w:val="center"/>
            <w:shd w:fill="E8EEF5"/>
          </w:tcPr>
          <w:p>
            <w:r>
              <w:rPr>
                <w:rFonts w:ascii="Calibri" w:hAnsi="Calibri"/>
                <w:b/>
                <w:color w:val="143D59"/>
                <w:sz w:val="18"/>
              </w:rPr>
              <w:t>Parsed source fact</w:t>
            </w:r>
          </w:p>
        </w:tc>
      </w:tr>
      <w:tr>
        <w:tc>
          <w:tcPr>
            <w:tcW w:type="dxa" w:w="2880"/>
            <w:vAlign w:val="center"/>
          </w:tcPr>
          <w:p>
            <w:r>
              <w:rPr>
                <w:rFonts w:ascii="Calibri" w:hAnsi="Calibri"/>
                <w:b/>
                <w:color w:val="143D59"/>
                <w:sz w:val="18"/>
              </w:rPr>
              <w:t>Team / topic</w:t>
            </w:r>
          </w:p>
        </w:tc>
        <w:tc>
          <w:tcPr>
            <w:tcW w:type="dxa" w:w="5616"/>
            <w:vAlign w:val="center"/>
          </w:tcPr>
          <w:p>
            <w:r>
              <w:rPr>
                <w:rFonts w:ascii="Calibri" w:hAnsi="Calibri"/>
                <w:b w:val="0"/>
                <w:sz w:val="18"/>
              </w:rPr>
              <w:t>Security Operations / decision-summary</w:t>
            </w:r>
          </w:p>
        </w:tc>
      </w:tr>
      <w:tr>
        <w:tc>
          <w:tcPr>
            <w:tcW w:type="dxa" w:w="2880"/>
            <w:vAlign w:val="center"/>
          </w:tcPr>
          <w:p>
            <w:r>
              <w:rPr>
                <w:rFonts w:ascii="Calibri" w:hAnsi="Calibri"/>
                <w:b/>
                <w:color w:val="143D59"/>
                <w:sz w:val="18"/>
              </w:rPr>
              <w:t>Record focus</w:t>
            </w:r>
          </w:p>
        </w:tc>
        <w:tc>
          <w:tcPr>
            <w:tcW w:type="dxa" w:w="5616"/>
            <w:vAlign w:val="center"/>
          </w:tcPr>
          <w:p>
            <w:r>
              <w:rPr>
                <w:rFonts w:ascii="Calibri" w:hAnsi="Calibri"/>
                <w:b w:val="0"/>
                <w:sz w:val="18"/>
              </w:rPr>
              <w:t>evidence metrics reconciliation</w:t>
            </w:r>
          </w:p>
        </w:tc>
      </w:tr>
      <w:tr>
        <w:tc>
          <w:tcPr>
            <w:tcW w:type="dxa" w:w="2880"/>
            <w:vAlign w:val="center"/>
          </w:tcPr>
          <w:p>
            <w:r>
              <w:rPr>
                <w:rFonts w:ascii="Calibri" w:hAnsi="Calibri"/>
                <w:b/>
                <w:color w:val="143D59"/>
                <w:sz w:val="18"/>
              </w:rPr>
              <w:t>Population / timely / final</w:t>
            </w:r>
          </w:p>
        </w:tc>
        <w:tc>
          <w:tcPr>
            <w:tcW w:type="dxa" w:w="5616"/>
            <w:vAlign w:val="center"/>
          </w:tcPr>
          <w:p>
            <w:r>
              <w:rPr>
                <w:rFonts w:ascii="Calibri" w:hAnsi="Calibri"/>
                <w:b w:val="0"/>
                <w:sz w:val="18"/>
              </w:rPr>
              <w:t>48 / 47 / 48</w:t>
            </w:r>
          </w:p>
        </w:tc>
      </w:tr>
      <w:tr>
        <w:tc>
          <w:tcPr>
            <w:tcW w:type="dxa" w:w="2880"/>
            <w:vAlign w:val="center"/>
          </w:tcPr>
          <w:p>
            <w:r>
              <w:rPr>
                <w:rFonts w:ascii="Calibri" w:hAnsi="Calibri"/>
                <w:b/>
                <w:color w:val="143D59"/>
                <w:sz w:val="18"/>
              </w:rPr>
              <w:t>Risk / evidence set</w:t>
            </w:r>
          </w:p>
        </w:tc>
        <w:tc>
          <w:tcPr>
            <w:tcW w:type="dxa" w:w="5616"/>
            <w:vAlign w:val="center"/>
          </w:tcPr>
          <w:p>
            <w:r>
              <w:rPr>
                <w:rFonts w:ascii="Calibri" w:hAnsi="Calibri"/>
                <w:b w:val="0"/>
                <w:sz w:val="18"/>
              </w:rPr>
              <w:t>Medium / 184</w:t>
            </w:r>
          </w:p>
        </w:tc>
      </w:tr>
      <w:tr>
        <w:tc>
          <w:tcPr>
            <w:tcW w:type="dxa" w:w="2880"/>
            <w:vAlign w:val="center"/>
          </w:tcPr>
          <w:p>
            <w:r>
              <w:rPr>
                <w:rFonts w:ascii="Calibri" w:hAnsi="Calibri"/>
                <w:b/>
                <w:color w:val="143D59"/>
                <w:sz w:val="18"/>
              </w:rPr>
              <w:t>Classification</w:t>
            </w:r>
          </w:p>
        </w:tc>
        <w:tc>
          <w:tcPr>
            <w:tcW w:type="dxa" w:w="5616"/>
            <w:vAlign w:val="center"/>
          </w:tcPr>
          <w:p>
            <w:r>
              <w:rPr>
                <w:rFonts w:ascii="Calibri" w:hAnsi="Calibri"/>
                <w:b w:val="0"/>
                <w:sz w:val="18"/>
              </w:rPr>
              <w:t>synthetic-defensive</w:t>
            </w:r>
          </w:p>
        </w:tc>
      </w:tr>
    </w:tbl>
    <w:p>
      <w:pPr>
        <w:spacing w:before="160" w:after="60"/>
      </w:pPr>
      <w:r>
        <w:rPr>
          <w:rFonts w:ascii="Calibri" w:hAnsi="Calibri"/>
          <w:b/>
          <w:color w:val="1F5A7A"/>
          <w:sz w:val="22"/>
        </w:rPr>
        <w:t>Evidence test method</w:t>
      </w:r>
    </w:p>
    <w:p>
      <w:pPr>
        <w:spacing w:after="100" w:line="259" w:lineRule="auto"/>
      </w:pPr>
      <w:r>
        <w:rPr>
          <w:rFonts w:ascii="Calibri" w:hAnsi="Calibri"/>
          <w:b w:val="0"/>
          <w:sz w:val="20"/>
        </w:rPr>
        <w:t>Compared the 48-record population and its 47 timely attestations with the July 14 normalization record, then traced the named source file into the handoff packet.</w:t>
      </w:r>
    </w:p>
    <w:p>
      <w:pPr>
        <w:spacing w:before="160" w:after="60"/>
      </w:pPr>
      <w:r>
        <w:rPr>
          <w:rFonts w:ascii="Calibri" w:hAnsi="Calibri"/>
          <w:b/>
          <w:color w:val="1F5A7A"/>
          <w:sz w:val="22"/>
        </w:rPr>
        <w:t>Finding</w:t>
      </w:r>
    </w:p>
    <w:p>
      <w:pPr>
        <w:spacing w:after="100" w:line="259" w:lineRule="auto"/>
      </w:pPr>
      <w:r>
        <w:rPr>
          <w:rFonts w:ascii="Calibri" w:hAnsi="Calibri"/>
          <w:b w:val="0"/>
          <w:sz w:val="20"/>
        </w:rPr>
        <w:t>The source retains a complete 48 of 48 final completion result, while the one late attestation remains visible as documented timing history.</w:t>
      </w:r>
    </w:p>
    <w:p>
      <w:pPr>
        <w:spacing w:before="160" w:after="60"/>
      </w:pPr>
      <w:r>
        <w:rPr>
          <w:rFonts w:ascii="Calibri" w:hAnsi="Calibri"/>
          <w:b/>
          <w:color w:val="1F5A7A"/>
          <w:sz w:val="22"/>
        </w:rPr>
        <w:t>Decision / disposition</w:t>
      </w:r>
    </w:p>
    <w:p>
      <w:pPr>
        <w:spacing w:after="100" w:line="259" w:lineRule="auto"/>
      </w:pPr>
      <w:r>
        <w:rPr>
          <w:rFonts w:ascii="Calibri" w:hAnsi="Calibri"/>
          <w:b w:val="0"/>
          <w:sz w:val="20"/>
        </w:rPr>
        <w:t>Accept the handoff as traceable evidence; keep residual risk at Medium rather than treating final completion as a timeliness override.</w:t>
      </w:r>
    </w:p>
    <w:p>
      <w:pPr>
        <w:spacing w:before="160" w:after="60"/>
      </w:pPr>
      <w:r>
        <w:rPr>
          <w:rFonts w:ascii="Calibri" w:hAnsi="Calibri"/>
          <w:b/>
          <w:color w:val="1F5A7A"/>
          <w:sz w:val="22"/>
        </w:rPr>
        <w:t>Follow-up action</w:t>
      </w:r>
    </w:p>
    <w:p>
      <w:pPr>
        <w:spacing w:after="100" w:line="259" w:lineRule="auto"/>
      </w:pPr>
      <w:r>
        <w:rPr>
          <w:rFonts w:ascii="Calibri" w:hAnsi="Calibri"/>
          <w:b w:val="0"/>
          <w:sz w:val="20"/>
        </w:rPr>
        <w:t>Security Operations records the checksum acknowledgement against evidence set 184 before the next closure check.</w:t>
      </w:r>
    </w:p>
    <w:p>
      <w:pPr>
        <w:spacing w:before="160" w:after="60"/>
      </w:pPr>
      <w:r>
        <w:rPr>
          <w:rFonts w:ascii="Calibri" w:hAnsi="Calibri"/>
          <w:b/>
          <w:color w:val="1F5A7A"/>
          <w:sz w:val="22"/>
        </w:rPr>
        <w:t>Boundary note</w:t>
      </w:r>
    </w:p>
    <w:p>
      <w:pPr>
        <w:spacing w:after="100" w:line="259" w:lineRule="auto"/>
      </w:pPr>
      <w:r>
        <w:rPr>
          <w:rFonts w:ascii="Calibri" w:hAnsi="Calibri"/>
          <w:b w:val="0"/>
          <w:sz w:val="20"/>
        </w:rPr>
        <w:t>This document is a synthetic defensive review for Cobalt Harbor Systems. It preserves the target review date separately from the source record date and does not assert any operational system result beyond the local evidence record.</w:t>
      </w:r>
    </w:p>
    <w:sectPr w:rsidR="00FC693F" w:rsidRPr="0006063C" w:rsidSect="00034616">
      <w:headerReference w:type="default" r:id="rId9"/>
      <w:footerReference w:type="default" r:id="rId10"/>
      <w:pgSz w:w="12240" w:h="15840"/>
      <w:pgMar w:top="950"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672"/>
        <w:sz w:val="16"/>
      </w:rPr>
      <w:t>Synthetic defensive GRC evidence — no Kio indexing, history, chunk, search, or performance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2"/>
        <w:sz w:val="16"/>
      </w:rPr>
      <w:t>COBALT HARBOR SYSTEMS  |  AC-27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Evidence Decision Record</dc:title>
  <dc:subject>p03-full-000212</dc:subject>
  <dc:creator>Cobalt Harbor Systems</dc:creator>
  <cp:keywords>synthetic, defensive, GRC, AC-27</cp:keywords>
  <dc:description>generated by python-docx</dc:description>
  <cp:lastModifiedBy/>
  <cp:revision>1</cp:revision>
  <dcterms:created xsi:type="dcterms:W3CDTF">2013-12-23T23:15:00Z</dcterms:created>
  <dcterms:modified xsi:type="dcterms:W3CDTF">2013-12-23T23:15:00Z</dcterms:modified>
  <cp:category/>
</cp:coreProperties>
</file>