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5A7A"/>
          <w:sz w:val="18"/>
        </w:rPr>
        <w:t>REVIEW NOTE</w:t>
      </w:r>
    </w:p>
    <w:p>
      <w:pPr>
        <w:spacing w:after="100"/>
      </w:pPr>
      <w:r>
        <w:rPr>
          <w:rFonts w:ascii="Calibri" w:hAnsi="Calibri"/>
          <w:b/>
          <w:color w:val="12354A"/>
          <w:sz w:val="36"/>
        </w:rPr>
        <w:t>AC-27 Evidence Decision Record</w:t>
      </w:r>
    </w:p>
    <w:p>
      <w:pPr>
        <w:spacing w:after="180"/>
      </w:pPr>
      <w:r>
        <w:rPr>
          <w:rFonts w:ascii="Calibri" w:hAnsi="Calibri"/>
          <w:b w:val="0"/>
          <w:color w:val="373737"/>
          <w:sz w:val="22"/>
        </w:rPr>
        <w:t>Which exception narrative should accompany a decision-summary record that reaches complete final completion?</w:t>
      </w:r>
    </w:p>
    <w:p>
      <w:pPr>
        <w:spacing w:after="40" w:line="252" w:lineRule="auto"/>
      </w:pPr>
      <w:r>
        <w:rPr>
          <w:rFonts w:ascii="Calibri" w:hAnsi="Calibri"/>
          <w:b/>
          <w:color w:val="143D59"/>
          <w:sz w:val="20"/>
        </w:rPr>
        <w:t xml:space="preserve">Target artifact: </w:t>
      </w:r>
      <w:r>
        <w:rPr>
          <w:rFonts w:ascii="Calibri" w:hAnsi="Calibri"/>
          <w:b w:val="0"/>
          <w:sz w:val="20"/>
        </w:rPr>
        <w:t>p03-full-002008</w:t>
      </w:r>
    </w:p>
    <w:p>
      <w:pPr>
        <w:spacing w:after="40" w:line="252" w:lineRule="auto"/>
      </w:pPr>
      <w:r>
        <w:rPr>
          <w:rFonts w:ascii="Calibri" w:hAnsi="Calibri"/>
          <w:b/>
          <w:color w:val="143D59"/>
          <w:sz w:val="20"/>
        </w:rPr>
        <w:t xml:space="preserve">Target review date: </w:t>
      </w:r>
      <w:r>
        <w:rPr>
          <w:rFonts w:ascii="Calibri" w:hAnsi="Calibri"/>
          <w:b w:val="0"/>
          <w:sz w:val="20"/>
        </w:rPr>
        <w:t>2026-07-14</w:t>
      </w:r>
    </w:p>
    <w:p>
      <w:pPr>
        <w:spacing w:after="40" w:line="252" w:lineRule="auto"/>
      </w:pPr>
      <w:r>
        <w:rPr>
          <w:rFonts w:ascii="Calibri" w:hAnsi="Calibri"/>
          <w:b/>
          <w:color w:val="143D59"/>
          <w:sz w:val="20"/>
        </w:rPr>
        <w:t xml:space="preserve">Source dependency: </w:t>
      </w:r>
      <w:r>
        <w:rPr>
          <w:rFonts w:ascii="Calibri" w:hAnsi="Calibri"/>
          <w:b w:val="0"/>
          <w:sz w:val="20"/>
        </w:rPr>
        <w:t>p03-full-001147</w:t>
      </w:r>
    </w:p>
    <w:p>
      <w:pPr>
        <w:spacing w:after="40" w:line="252" w:lineRule="auto"/>
      </w:pPr>
      <w:r>
        <w:rPr>
          <w:rFonts w:ascii="Calibri" w:hAnsi="Calibri"/>
          <w:b/>
          <w:color w:val="143D59"/>
          <w:sz w:val="20"/>
        </w:rPr>
        <w:t xml:space="preserve">Source record date: </w:t>
      </w:r>
      <w:r>
        <w:rPr>
          <w:rFonts w:ascii="Calibri" w:hAnsi="Calibri"/>
          <w:b w:val="0"/>
          <w:sz w:val="20"/>
        </w:rPr>
        <w:t>2026-07-20</w:t>
      </w:r>
    </w:p>
    <w:p>
      <w:pPr>
        <w:spacing w:after="40" w:line="252" w:lineRule="auto"/>
      </w:pPr>
      <w:r>
        <w:rPr>
          <w:rFonts w:ascii="Calibri" w:hAnsi="Calibri"/>
          <w:b/>
          <w:color w:val="143D59"/>
          <w:sz w:val="20"/>
        </w:rPr>
        <w:t xml:space="preserve">Source filename: </w:t>
      </w:r>
      <w:r>
        <w:rPr>
          <w:rFonts w:ascii="Calibri" w:hAnsi="Calibri"/>
          <w:b w:val="0"/>
          <w:sz w:val="20"/>
        </w:rPr>
        <w:t>2026-07-20-team-assurance-decision-summary-evidence-metrics-tsv-s001147.tsv</w:t>
      </w:r>
    </w:p>
    <w:p>
      <w:pPr>
        <w:spacing w:after="40" w:line="252" w:lineRule="auto"/>
      </w:pPr>
      <w:r>
        <w:rPr>
          <w:rFonts w:ascii="Calibri" w:hAnsi="Calibri"/>
          <w:b/>
          <w:color w:val="143D59"/>
          <w:sz w:val="20"/>
        </w:rPr>
        <w:t xml:space="preserve">Source slot: </w:t>
      </w:r>
      <w:r>
        <w:rPr>
          <w:rFonts w:ascii="Calibri" w:hAnsi="Calibri"/>
          <w:b w:val="0"/>
          <w:sz w:val="20"/>
        </w:rPr>
        <w:t>001147</w:t>
      </w:r>
    </w:p>
    <w:tbl>
      <w:tblPr>
        <w:tblW w:type="auto" w:w="0"/>
        <w:jc w:val="left"/>
        <w:tblLayout w:type="fixed"/>
        <w:tblLook w:firstColumn="1" w:firstRow="1" w:lastColumn="0" w:lastRow="0" w:noHBand="0" w:noVBand="1" w:val="04A0"/>
      </w:tblPr>
      <w:tblGrid>
        <w:gridCol w:w="2880"/>
        <w:gridCol w:w="5616"/>
      </w:tblGrid>
      <w:tr>
        <w:tc>
          <w:tcPr>
            <w:tcW w:type="dxa" w:w="2880"/>
            <w:vAlign w:val="center"/>
            <w:shd w:fill="E8EEF5"/>
          </w:tcPr>
          <w:p>
            <w:r>
              <w:rPr>
                <w:rFonts w:ascii="Calibri" w:hAnsi="Calibri"/>
                <w:b/>
                <w:color w:val="143D59"/>
                <w:sz w:val="18"/>
              </w:rPr>
              <w:t>Parsed evidence field</w:t>
            </w:r>
          </w:p>
        </w:tc>
        <w:tc>
          <w:tcPr>
            <w:tcW w:type="dxa" w:w="5616"/>
            <w:vAlign w:val="center"/>
            <w:shd w:fill="E8EEF5"/>
          </w:tcPr>
          <w:p>
            <w:r>
              <w:rPr>
                <w:rFonts w:ascii="Calibri" w:hAnsi="Calibri"/>
                <w:b/>
                <w:color w:val="143D59"/>
                <w:sz w:val="18"/>
              </w:rPr>
              <w:t>Parsed source fact</w:t>
            </w:r>
          </w:p>
        </w:tc>
      </w:tr>
      <w:tr>
        <w:tc>
          <w:tcPr>
            <w:tcW w:type="dxa" w:w="2880"/>
            <w:vAlign w:val="center"/>
          </w:tcPr>
          <w:p>
            <w:r>
              <w:rPr>
                <w:rFonts w:ascii="Calibri" w:hAnsi="Calibri"/>
                <w:b/>
                <w:color w:val="143D59"/>
                <w:sz w:val="18"/>
              </w:rPr>
              <w:t>Team / topic</w:t>
            </w:r>
          </w:p>
        </w:tc>
        <w:tc>
          <w:tcPr>
            <w:tcW w:type="dxa" w:w="5616"/>
            <w:vAlign w:val="center"/>
          </w:tcPr>
          <w:p>
            <w:r>
              <w:rPr>
                <w:rFonts w:ascii="Calibri" w:hAnsi="Calibri"/>
                <w:b w:val="0"/>
                <w:sz w:val="18"/>
              </w:rPr>
              <w:t>Security Operations / decision-summary</w:t>
            </w:r>
          </w:p>
        </w:tc>
      </w:tr>
      <w:tr>
        <w:tc>
          <w:tcPr>
            <w:tcW w:type="dxa" w:w="2880"/>
            <w:vAlign w:val="center"/>
          </w:tcPr>
          <w:p>
            <w:r>
              <w:rPr>
                <w:rFonts w:ascii="Calibri" w:hAnsi="Calibri"/>
                <w:b/>
                <w:color w:val="143D59"/>
                <w:sz w:val="18"/>
              </w:rPr>
              <w:t>Record focus</w:t>
            </w:r>
          </w:p>
        </w:tc>
        <w:tc>
          <w:tcPr>
            <w:tcW w:type="dxa" w:w="5616"/>
            <w:vAlign w:val="center"/>
          </w:tcPr>
          <w:p>
            <w:r>
              <w:rPr>
                <w:rFonts w:ascii="Calibri" w:hAnsi="Calibri"/>
                <w:b w:val="0"/>
                <w:sz w:val="18"/>
              </w:rPr>
              <w:t>evidence metrics reconciliation</w:t>
            </w:r>
          </w:p>
        </w:tc>
      </w:tr>
      <w:tr>
        <w:tc>
          <w:tcPr>
            <w:tcW w:type="dxa" w:w="2880"/>
            <w:vAlign w:val="center"/>
          </w:tcPr>
          <w:p>
            <w:r>
              <w:rPr>
                <w:rFonts w:ascii="Calibri" w:hAnsi="Calibri"/>
                <w:b/>
                <w:color w:val="143D59"/>
                <w:sz w:val="18"/>
              </w:rPr>
              <w:t>Population / timely / final</w:t>
            </w:r>
          </w:p>
        </w:tc>
        <w:tc>
          <w:tcPr>
            <w:tcW w:type="dxa" w:w="5616"/>
            <w:vAlign w:val="center"/>
          </w:tcPr>
          <w:p>
            <w:r>
              <w:rPr>
                <w:rFonts w:ascii="Calibri" w:hAnsi="Calibri"/>
                <w:b w:val="0"/>
                <w:sz w:val="18"/>
              </w:rPr>
              <w:t>48 / 47 / 48</w:t>
            </w:r>
          </w:p>
        </w:tc>
      </w:tr>
      <w:tr>
        <w:tc>
          <w:tcPr>
            <w:tcW w:type="dxa" w:w="2880"/>
            <w:vAlign w:val="center"/>
          </w:tcPr>
          <w:p>
            <w:r>
              <w:rPr>
                <w:rFonts w:ascii="Calibri" w:hAnsi="Calibri"/>
                <w:b/>
                <w:color w:val="143D59"/>
                <w:sz w:val="18"/>
              </w:rPr>
              <w:t>Risk / evidence set</w:t>
            </w:r>
          </w:p>
        </w:tc>
        <w:tc>
          <w:tcPr>
            <w:tcW w:type="dxa" w:w="5616"/>
            <w:vAlign w:val="center"/>
          </w:tcPr>
          <w:p>
            <w:r>
              <w:rPr>
                <w:rFonts w:ascii="Calibri" w:hAnsi="Calibri"/>
                <w:b w:val="0"/>
                <w:sz w:val="18"/>
              </w:rPr>
              <w:t>Medium / 184</w:t>
            </w:r>
          </w:p>
        </w:tc>
      </w:tr>
      <w:tr>
        <w:tc>
          <w:tcPr>
            <w:tcW w:type="dxa" w:w="2880"/>
            <w:vAlign w:val="center"/>
          </w:tcPr>
          <w:p>
            <w:r>
              <w:rPr>
                <w:rFonts w:ascii="Calibri" w:hAnsi="Calibri"/>
                <w:b/>
                <w:color w:val="143D59"/>
                <w:sz w:val="18"/>
              </w:rPr>
              <w:t>Classification</w:t>
            </w:r>
          </w:p>
        </w:tc>
        <w:tc>
          <w:tcPr>
            <w:tcW w:type="dxa" w:w="5616"/>
            <w:vAlign w:val="center"/>
          </w:tcPr>
          <w:p>
            <w:r>
              <w:rPr>
                <w:rFonts w:ascii="Calibri" w:hAnsi="Calibri"/>
                <w:b w:val="0"/>
                <w:sz w:val="18"/>
              </w:rPr>
              <w:t>synthetic-defensive</w:t>
            </w:r>
          </w:p>
        </w:tc>
      </w:tr>
    </w:tbl>
    <w:p>
      <w:pPr>
        <w:spacing w:before="160" w:after="60"/>
      </w:pPr>
      <w:r>
        <w:rPr>
          <w:rFonts w:ascii="Calibri" w:hAnsi="Calibri"/>
          <w:b/>
          <w:color w:val="1F5A7A"/>
          <w:sz w:val="22"/>
        </w:rPr>
        <w:t>Evidence test method</w:t>
      </w:r>
    </w:p>
    <w:p>
      <w:pPr>
        <w:spacing w:after="100" w:line="259" w:lineRule="auto"/>
      </w:pPr>
      <w:r>
        <w:rPr>
          <w:rFonts w:ascii="Calibri" w:hAnsi="Calibri"/>
          <w:b w:val="0"/>
          <w:sz w:val="20"/>
        </w:rPr>
        <w:t>Tested whether the source separately expresses population, timely attestations, final completion, residual risk, and evidence-set identity instead of collapsing them into a single success statement.</w:t>
      </w:r>
    </w:p>
    <w:p>
      <w:pPr>
        <w:spacing w:before="160" w:after="60"/>
      </w:pPr>
      <w:r>
        <w:rPr>
          <w:rFonts w:ascii="Calibri" w:hAnsi="Calibri"/>
          <w:b/>
          <w:color w:val="1F5A7A"/>
          <w:sz w:val="22"/>
        </w:rPr>
        <w:t>Finding</w:t>
      </w:r>
    </w:p>
    <w:p>
      <w:pPr>
        <w:spacing w:after="100" w:line="259" w:lineRule="auto"/>
      </w:pPr>
      <w:r>
        <w:rPr>
          <w:rFonts w:ascii="Calibri" w:hAnsi="Calibri"/>
          <w:b w:val="0"/>
          <w:sz w:val="20"/>
        </w:rPr>
        <w:t>The record preserves 47 timely attestations alongside 48 of 48 final completion, so its Medium residual-risk label remains material to the review.</w:t>
      </w:r>
    </w:p>
    <w:p>
      <w:pPr>
        <w:spacing w:before="160" w:after="60"/>
      </w:pPr>
      <w:r>
        <w:rPr>
          <w:rFonts w:ascii="Calibri" w:hAnsi="Calibri"/>
          <w:b/>
          <w:color w:val="1F5A7A"/>
          <w:sz w:val="22"/>
        </w:rPr>
        <w:t>Decision / disposition</w:t>
      </w:r>
    </w:p>
    <w:p>
      <w:pPr>
        <w:spacing w:after="100" w:line="259" w:lineRule="auto"/>
      </w:pPr>
      <w:r>
        <w:rPr>
          <w:rFonts w:ascii="Calibri" w:hAnsi="Calibri"/>
          <w:b w:val="0"/>
          <w:sz w:val="20"/>
        </w:rPr>
        <w:t>Escalate only the timing history for documented follow-up; do not open a new completeness exception.</w:t>
      </w:r>
    </w:p>
    <w:p>
      <w:pPr>
        <w:spacing w:before="160" w:after="60"/>
      </w:pPr>
      <w:r>
        <w:rPr>
          <w:rFonts w:ascii="Calibri" w:hAnsi="Calibri"/>
          <w:b/>
          <w:color w:val="1F5A7A"/>
          <w:sz w:val="22"/>
        </w:rPr>
        <w:t>Follow-up action</w:t>
      </w:r>
    </w:p>
    <w:p>
      <w:pPr>
        <w:spacing w:after="100" w:line="259" w:lineRule="auto"/>
      </w:pPr>
      <w:r>
        <w:rPr>
          <w:rFonts w:ascii="Calibri" w:hAnsi="Calibri"/>
          <w:b w:val="0"/>
          <w:sz w:val="20"/>
        </w:rPr>
        <w:t>The review facilitator verifies that the closure packet cites the synthetic classification and source slot before sign-off.</w:t>
      </w:r>
    </w:p>
    <w:p>
      <w:pPr>
        <w:spacing w:before="160" w:after="60"/>
      </w:pPr>
      <w:r>
        <w:rPr>
          <w:rFonts w:ascii="Calibri" w:hAnsi="Calibri"/>
          <w:b/>
          <w:color w:val="1F5A7A"/>
          <w:sz w:val="22"/>
        </w:rPr>
        <w:t>Boundary note</w:t>
      </w:r>
    </w:p>
    <w:p>
      <w:pPr>
        <w:spacing w:after="100" w:line="259" w:lineRule="auto"/>
      </w:pPr>
      <w:r>
        <w:rPr>
          <w:rFonts w:ascii="Calibri" w:hAnsi="Calibri"/>
          <w:b w:val="0"/>
          <w:sz w:val="20"/>
        </w:rPr>
        <w:t>This document is a synthetic defensive review for Cobalt Harbor Systems. It preserves the target review date separately from the source record date and does not assert any operational system result beyond the local evidence record.</w:t>
      </w:r>
    </w:p>
    <w:sectPr w:rsidR="00FC693F" w:rsidRPr="0006063C" w:rsidSect="00034616">
      <w:headerReference w:type="default" r:id="rId9"/>
      <w:footerReference w:type="default" r:id="rId10"/>
      <w:pgSz w:w="12240" w:h="15840"/>
      <w:pgMar w:top="950"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672"/>
        <w:sz w:val="16"/>
      </w:rPr>
      <w:t>Synthetic defensive GRC evidence — no Kio indexing, history, chunk, search, or performance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2"/>
        <w:sz w:val="16"/>
      </w:rPr>
      <w:t>COBALT HARBOR SYSTEMS  |  AC-27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Evidence Decision Record</dc:title>
  <dc:subject>p03-full-002008</dc:subject>
  <dc:creator>Cobalt Harbor Systems</dc:creator>
  <cp:keywords>synthetic, defensive, GRC, AC-27</cp:keywords>
  <dc:description>generated by python-docx</dc:description>
  <cp:lastModifiedBy/>
  <cp:revision>1</cp:revision>
  <dcterms:created xsi:type="dcterms:W3CDTF">2013-12-23T23:15:00Z</dcterms:created>
  <dcterms:modified xsi:type="dcterms:W3CDTF">2013-12-23T23:15:00Z</dcterms:modified>
  <cp:category/>
</cp:coreProperties>
</file>