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5A7A"/>
          <w:sz w:val="18"/>
        </w:rPr>
        <w:t>REVIEW NOTE</w:t>
      </w:r>
    </w:p>
    <w:p>
      <w:pPr>
        <w:spacing w:after="100"/>
      </w:pPr>
      <w:r>
        <w:rPr>
          <w:rFonts w:ascii="Calibri" w:hAnsi="Calibri"/>
          <w:b/>
          <w:color w:val="12354A"/>
          <w:sz w:val="36"/>
        </w:rPr>
        <w:t>AC-27 Evidence Decision Record</w:t>
      </w:r>
    </w:p>
    <w:p>
      <w:pPr>
        <w:spacing w:after="180"/>
      </w:pPr>
      <w:r>
        <w:rPr>
          <w:rFonts w:ascii="Calibri" w:hAnsi="Calibri"/>
          <w:b w:val="0"/>
          <w:color w:val="373737"/>
          <w:sz w:val="22"/>
        </w:rPr>
        <w:t>What must be preserved in the early handoff so the seven-day closure review can reproduce the evidence decision?</w:t>
      </w:r>
    </w:p>
    <w:p>
      <w:pPr>
        <w:spacing w:after="40" w:line="252" w:lineRule="auto"/>
      </w:pPr>
      <w:r>
        <w:rPr>
          <w:rFonts w:ascii="Calibri" w:hAnsi="Calibri"/>
          <w:b/>
          <w:color w:val="143D59"/>
          <w:sz w:val="20"/>
        </w:rPr>
        <w:t xml:space="preserve">Target artifact: </w:t>
      </w:r>
      <w:r>
        <w:rPr>
          <w:rFonts w:ascii="Calibri" w:hAnsi="Calibri"/>
          <w:b w:val="0"/>
          <w:sz w:val="20"/>
        </w:rPr>
        <w:t>p03-full-001408</w:t>
      </w:r>
    </w:p>
    <w:p>
      <w:pPr>
        <w:spacing w:after="40" w:line="252" w:lineRule="auto"/>
      </w:pPr>
      <w:r>
        <w:rPr>
          <w:rFonts w:ascii="Calibri" w:hAnsi="Calibri"/>
          <w:b/>
          <w:color w:val="143D59"/>
          <w:sz w:val="20"/>
        </w:rPr>
        <w:t xml:space="preserve">Target review date: </w:t>
      </w:r>
      <w:r>
        <w:rPr>
          <w:rFonts w:ascii="Calibri" w:hAnsi="Calibri"/>
          <w:b w:val="0"/>
          <w:sz w:val="20"/>
        </w:rPr>
        <w:t>2026-07-14</w:t>
      </w:r>
    </w:p>
    <w:p>
      <w:pPr>
        <w:spacing w:after="40" w:line="252" w:lineRule="auto"/>
      </w:pPr>
      <w:r>
        <w:rPr>
          <w:rFonts w:ascii="Calibri" w:hAnsi="Calibri"/>
          <w:b/>
          <w:color w:val="143D59"/>
          <w:sz w:val="20"/>
        </w:rPr>
        <w:t xml:space="preserve">Source dependency: </w:t>
      </w:r>
      <w:r>
        <w:rPr>
          <w:rFonts w:ascii="Calibri" w:hAnsi="Calibri"/>
          <w:b w:val="0"/>
          <w:sz w:val="20"/>
        </w:rPr>
        <w:t>p03-full-001147</w:t>
      </w:r>
    </w:p>
    <w:p>
      <w:pPr>
        <w:spacing w:after="40" w:line="252" w:lineRule="auto"/>
      </w:pPr>
      <w:r>
        <w:rPr>
          <w:rFonts w:ascii="Calibri" w:hAnsi="Calibri"/>
          <w:b/>
          <w:color w:val="143D59"/>
          <w:sz w:val="20"/>
        </w:rPr>
        <w:t xml:space="preserve">Source record date: </w:t>
      </w:r>
      <w:r>
        <w:rPr>
          <w:rFonts w:ascii="Calibri" w:hAnsi="Calibri"/>
          <w:b w:val="0"/>
          <w:sz w:val="20"/>
        </w:rPr>
        <w:t>2026-07-20</w:t>
      </w:r>
    </w:p>
    <w:p>
      <w:pPr>
        <w:spacing w:after="40" w:line="252" w:lineRule="auto"/>
      </w:pPr>
      <w:r>
        <w:rPr>
          <w:rFonts w:ascii="Calibri" w:hAnsi="Calibri"/>
          <w:b/>
          <w:color w:val="143D59"/>
          <w:sz w:val="20"/>
        </w:rPr>
        <w:t xml:space="preserve">Source filename: </w:t>
      </w:r>
      <w:r>
        <w:rPr>
          <w:rFonts w:ascii="Calibri" w:hAnsi="Calibri"/>
          <w:b w:val="0"/>
          <w:sz w:val="20"/>
        </w:rPr>
        <w:t>2026-07-20-team-assurance-decision-summary-evidence-metrics-tsv-s001147.tsv</w:t>
      </w:r>
    </w:p>
    <w:p>
      <w:pPr>
        <w:spacing w:after="40" w:line="252" w:lineRule="auto"/>
      </w:pPr>
      <w:r>
        <w:rPr>
          <w:rFonts w:ascii="Calibri" w:hAnsi="Calibri"/>
          <w:b/>
          <w:color w:val="143D59"/>
          <w:sz w:val="20"/>
        </w:rPr>
        <w:t xml:space="preserve">Source slot: </w:t>
      </w:r>
      <w:r>
        <w:rPr>
          <w:rFonts w:ascii="Calibri" w:hAnsi="Calibri"/>
          <w:b w:val="0"/>
          <w:sz w:val="20"/>
        </w:rPr>
        <w:t>001147</w:t>
      </w:r>
    </w:p>
    <w:tbl>
      <w:tblPr>
        <w:tblW w:type="auto" w:w="0"/>
        <w:jc w:val="left"/>
        <w:tblLayout w:type="fixed"/>
        <w:tblLook w:firstColumn="1" w:firstRow="1" w:lastColumn="0" w:lastRow="0" w:noHBand="0" w:noVBand="1" w:val="04A0"/>
      </w:tblPr>
      <w:tblGrid>
        <w:gridCol w:w="2880"/>
        <w:gridCol w:w="5616"/>
      </w:tblGrid>
      <w:tr>
        <w:tc>
          <w:tcPr>
            <w:tcW w:type="dxa" w:w="2880"/>
            <w:vAlign w:val="center"/>
            <w:shd w:fill="E8EEF5"/>
          </w:tcPr>
          <w:p>
            <w:r>
              <w:rPr>
                <w:rFonts w:ascii="Calibri" w:hAnsi="Calibri"/>
                <w:b/>
                <w:color w:val="143D59"/>
                <w:sz w:val="18"/>
              </w:rPr>
              <w:t>Parsed evidence field</w:t>
            </w:r>
          </w:p>
        </w:tc>
        <w:tc>
          <w:tcPr>
            <w:tcW w:type="dxa" w:w="5616"/>
            <w:vAlign w:val="center"/>
            <w:shd w:fill="E8EEF5"/>
          </w:tcPr>
          <w:p>
            <w:r>
              <w:rPr>
                <w:rFonts w:ascii="Calibri" w:hAnsi="Calibri"/>
                <w:b/>
                <w:color w:val="143D59"/>
                <w:sz w:val="18"/>
              </w:rPr>
              <w:t>Parsed source fact</w:t>
            </w:r>
          </w:p>
        </w:tc>
      </w:tr>
      <w:tr>
        <w:tc>
          <w:tcPr>
            <w:tcW w:type="dxa" w:w="2880"/>
            <w:vAlign w:val="center"/>
          </w:tcPr>
          <w:p>
            <w:r>
              <w:rPr>
                <w:rFonts w:ascii="Calibri" w:hAnsi="Calibri"/>
                <w:b/>
                <w:color w:val="143D59"/>
                <w:sz w:val="18"/>
              </w:rPr>
              <w:t>Team / topic</w:t>
            </w:r>
          </w:p>
        </w:tc>
        <w:tc>
          <w:tcPr>
            <w:tcW w:type="dxa" w:w="5616"/>
            <w:vAlign w:val="center"/>
          </w:tcPr>
          <w:p>
            <w:r>
              <w:rPr>
                <w:rFonts w:ascii="Calibri" w:hAnsi="Calibri"/>
                <w:b w:val="0"/>
                <w:sz w:val="18"/>
              </w:rPr>
              <w:t>Security Operations / decision-summary</w:t>
            </w:r>
          </w:p>
        </w:tc>
      </w:tr>
      <w:tr>
        <w:tc>
          <w:tcPr>
            <w:tcW w:type="dxa" w:w="2880"/>
            <w:vAlign w:val="center"/>
          </w:tcPr>
          <w:p>
            <w:r>
              <w:rPr>
                <w:rFonts w:ascii="Calibri" w:hAnsi="Calibri"/>
                <w:b/>
                <w:color w:val="143D59"/>
                <w:sz w:val="18"/>
              </w:rPr>
              <w:t>Record focus</w:t>
            </w:r>
          </w:p>
        </w:tc>
        <w:tc>
          <w:tcPr>
            <w:tcW w:type="dxa" w:w="5616"/>
            <w:vAlign w:val="center"/>
          </w:tcPr>
          <w:p>
            <w:r>
              <w:rPr>
                <w:rFonts w:ascii="Calibri" w:hAnsi="Calibri"/>
                <w:b w:val="0"/>
                <w:sz w:val="18"/>
              </w:rPr>
              <w:t>evidence metrics reconciliation</w:t>
            </w:r>
          </w:p>
        </w:tc>
      </w:tr>
      <w:tr>
        <w:tc>
          <w:tcPr>
            <w:tcW w:type="dxa" w:w="2880"/>
            <w:vAlign w:val="center"/>
          </w:tcPr>
          <w:p>
            <w:r>
              <w:rPr>
                <w:rFonts w:ascii="Calibri" w:hAnsi="Calibri"/>
                <w:b/>
                <w:color w:val="143D59"/>
                <w:sz w:val="18"/>
              </w:rPr>
              <w:t>Population / timely / final</w:t>
            </w:r>
          </w:p>
        </w:tc>
        <w:tc>
          <w:tcPr>
            <w:tcW w:type="dxa" w:w="5616"/>
            <w:vAlign w:val="center"/>
          </w:tcPr>
          <w:p>
            <w:r>
              <w:rPr>
                <w:rFonts w:ascii="Calibri" w:hAnsi="Calibri"/>
                <w:b w:val="0"/>
                <w:sz w:val="18"/>
              </w:rPr>
              <w:t>48 / 47 / 48</w:t>
            </w:r>
          </w:p>
        </w:tc>
      </w:tr>
      <w:tr>
        <w:tc>
          <w:tcPr>
            <w:tcW w:type="dxa" w:w="2880"/>
            <w:vAlign w:val="center"/>
          </w:tcPr>
          <w:p>
            <w:r>
              <w:rPr>
                <w:rFonts w:ascii="Calibri" w:hAnsi="Calibri"/>
                <w:b/>
                <w:color w:val="143D59"/>
                <w:sz w:val="18"/>
              </w:rPr>
              <w:t>Risk / evidence set</w:t>
            </w:r>
          </w:p>
        </w:tc>
        <w:tc>
          <w:tcPr>
            <w:tcW w:type="dxa" w:w="5616"/>
            <w:vAlign w:val="center"/>
          </w:tcPr>
          <w:p>
            <w:r>
              <w:rPr>
                <w:rFonts w:ascii="Calibri" w:hAnsi="Calibri"/>
                <w:b w:val="0"/>
                <w:sz w:val="18"/>
              </w:rPr>
              <w:t>Medium / 184</w:t>
            </w:r>
          </w:p>
        </w:tc>
      </w:tr>
      <w:tr>
        <w:tc>
          <w:tcPr>
            <w:tcW w:type="dxa" w:w="2880"/>
            <w:vAlign w:val="center"/>
          </w:tcPr>
          <w:p>
            <w:r>
              <w:rPr>
                <w:rFonts w:ascii="Calibri" w:hAnsi="Calibri"/>
                <w:b/>
                <w:color w:val="143D59"/>
                <w:sz w:val="18"/>
              </w:rPr>
              <w:t>Classification</w:t>
            </w:r>
          </w:p>
        </w:tc>
        <w:tc>
          <w:tcPr>
            <w:tcW w:type="dxa" w:w="5616"/>
            <w:vAlign w:val="center"/>
          </w:tcPr>
          <w:p>
            <w:r>
              <w:rPr>
                <w:rFonts w:ascii="Calibri" w:hAnsi="Calibri"/>
                <w:b w:val="0"/>
                <w:sz w:val="18"/>
              </w:rPr>
              <w:t>synthetic-defensive</w:t>
            </w:r>
          </w:p>
        </w:tc>
      </w:tr>
    </w:tbl>
    <w:p>
      <w:pPr>
        <w:spacing w:before="160" w:after="60"/>
      </w:pPr>
      <w:r>
        <w:rPr>
          <w:rFonts w:ascii="Calibri" w:hAnsi="Calibri"/>
          <w:b/>
          <w:color w:val="1F5A7A"/>
          <w:sz w:val="22"/>
        </w:rPr>
        <w:t>Evidence test method</w:t>
      </w:r>
    </w:p>
    <w:p>
      <w:pPr>
        <w:spacing w:after="100" w:line="259" w:lineRule="auto"/>
      </w:pPr>
      <w:r>
        <w:rPr>
          <w:rFonts w:ascii="Calibri" w:hAnsi="Calibri"/>
          <w:b w:val="0"/>
          <w:sz w:val="20"/>
        </w:rPr>
        <w:t>Read the future-dated source as a follow-up authority, isolating its 48/47/48 measures and source file from the July 14 review context.</w:t>
      </w:r>
    </w:p>
    <w:p>
      <w:pPr>
        <w:spacing w:before="160" w:after="60"/>
      </w:pPr>
      <w:r>
        <w:rPr>
          <w:rFonts w:ascii="Calibri" w:hAnsi="Calibri"/>
          <w:b/>
          <w:color w:val="1F5A7A"/>
          <w:sz w:val="22"/>
        </w:rPr>
        <w:t>Finding</w:t>
      </w:r>
    </w:p>
    <w:p>
      <w:pPr>
        <w:spacing w:after="100" w:line="259" w:lineRule="auto"/>
      </w:pPr>
      <w:r>
        <w:rPr>
          <w:rFonts w:ascii="Calibri" w:hAnsi="Calibri"/>
          <w:b w:val="0"/>
          <w:sz w:val="20"/>
        </w:rPr>
        <w:t>The follow-up record defines closure validation and residual-risk status; it does not retroactively change the target review date.</w:t>
      </w:r>
    </w:p>
    <w:p>
      <w:pPr>
        <w:spacing w:before="160" w:after="60"/>
      </w:pPr>
      <w:r>
        <w:rPr>
          <w:rFonts w:ascii="Calibri" w:hAnsi="Calibri"/>
          <w:b/>
          <w:color w:val="1F5A7A"/>
          <w:sz w:val="22"/>
        </w:rPr>
        <w:t>Decision / disposition</w:t>
      </w:r>
    </w:p>
    <w:p>
      <w:pPr>
        <w:spacing w:after="100" w:line="259" w:lineRule="auto"/>
      </w:pPr>
      <w:r>
        <w:rPr>
          <w:rFonts w:ascii="Calibri" w:hAnsi="Calibri"/>
          <w:b w:val="0"/>
          <w:sz w:val="20"/>
        </w:rPr>
        <w:t>Retain the July 14 handoff boundary and designate the source file as the continuity reference for the seven-day review.</w:t>
      </w:r>
    </w:p>
    <w:p>
      <w:pPr>
        <w:spacing w:before="160" w:after="60"/>
      </w:pPr>
      <w:r>
        <w:rPr>
          <w:rFonts w:ascii="Calibri" w:hAnsi="Calibri"/>
          <w:b/>
          <w:color w:val="1F5A7A"/>
          <w:sz w:val="22"/>
        </w:rPr>
        <w:t>Follow-up action</w:t>
      </w:r>
    </w:p>
    <w:p>
      <w:pPr>
        <w:spacing w:after="100" w:line="259" w:lineRule="auto"/>
      </w:pPr>
      <w:r>
        <w:rPr>
          <w:rFonts w:ascii="Calibri" w:hAnsi="Calibri"/>
          <w:b w:val="0"/>
          <w:sz w:val="20"/>
        </w:rPr>
        <w:t>The handoff coordinator attaches the source-file reference and action-owner acknowledgement to the AC-27 evidence register.</w:t>
      </w:r>
    </w:p>
    <w:p>
      <w:pPr>
        <w:spacing w:before="160" w:after="60"/>
      </w:pPr>
      <w:r>
        <w:rPr>
          <w:rFonts w:ascii="Calibri" w:hAnsi="Calibri"/>
          <w:b/>
          <w:color w:val="1F5A7A"/>
          <w:sz w:val="22"/>
        </w:rPr>
        <w:t>Boundary note</w:t>
      </w:r>
    </w:p>
    <w:p>
      <w:pPr>
        <w:spacing w:after="100" w:line="259" w:lineRule="auto"/>
      </w:pPr>
      <w:r>
        <w:rPr>
          <w:rFonts w:ascii="Calibri" w:hAnsi="Calibri"/>
          <w:b w:val="0"/>
          <w:sz w:val="20"/>
        </w:rPr>
        <w:t>This document is a synthetic defensive review for Cobalt Harbor Systems. It preserves the target review date separately from the source record date and does not assert any operational system result beyond the local evidence record.</w:t>
      </w:r>
    </w:p>
    <w:sectPr w:rsidR="00FC693F" w:rsidRPr="0006063C" w:rsidSect="00034616">
      <w:headerReference w:type="default" r:id="rId9"/>
      <w:footerReference w:type="default" r:id="rId10"/>
      <w:pgSz w:w="12240" w:h="15840"/>
      <w:pgMar w:top="950" w:right="1123" w:bottom="86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A6672"/>
        <w:sz w:val="16"/>
      </w:rPr>
      <w:t>Synthetic defensive GRC evidence — no Kio indexing, history, chunk, search, or performance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672"/>
        <w:sz w:val="16"/>
      </w:rPr>
      <w:t>COBALT HARBOR SYSTEMS  |  AC-27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AC-27 Evidence Decision Record</dc:title>
  <dc:subject>p03-full-001408</dc:subject>
  <dc:creator>Cobalt Harbor Systems</dc:creator>
  <cp:keywords>synthetic, defensive, GRC, AC-27</cp:keywords>
  <dc:description>generated by python-docx</dc:description>
  <cp:lastModifiedBy/>
  <cp:revision>1</cp:revision>
  <dcterms:created xsi:type="dcterms:W3CDTF">2013-12-23T23:15:00Z</dcterms:created>
  <dcterms:modified xsi:type="dcterms:W3CDTF">2013-12-23T23:15:00Z</dcterms:modified>
  <cp:category/>
</cp:coreProperties>
</file>