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5A7A"/>
          <w:sz w:val="18"/>
        </w:rPr>
        <w:t>REVIEW NOTE</w:t>
      </w:r>
    </w:p>
    <w:p>
      <w:pPr>
        <w:spacing w:after="100"/>
      </w:pPr>
      <w:r>
        <w:rPr>
          <w:rFonts w:ascii="Calibri" w:hAnsi="Calibri"/>
          <w:b/>
          <w:color w:val="12354A"/>
          <w:sz w:val="36"/>
        </w:rPr>
        <w:t>AC-27 Evidence Decision Record</w:t>
      </w:r>
    </w:p>
    <w:p>
      <w:pPr>
        <w:spacing w:after="180"/>
      </w:pPr>
      <w:r>
        <w:rPr>
          <w:rFonts w:ascii="Calibri" w:hAnsi="Calibri"/>
          <w:b w:val="0"/>
          <w:color w:val="373737"/>
          <w:sz w:val="22"/>
        </w:rPr>
        <w:t>Is the review session using the intake handoff as evidence of reconciliation rather than as a substitute for the session decision?</w:t>
      </w:r>
    </w:p>
    <w:p>
      <w:pPr>
        <w:spacing w:after="40" w:line="252" w:lineRule="auto"/>
      </w:pPr>
      <w:r>
        <w:rPr>
          <w:rFonts w:ascii="Calibri" w:hAnsi="Calibri"/>
          <w:b/>
          <w:color w:val="143D59"/>
          <w:sz w:val="20"/>
        </w:rPr>
        <w:t xml:space="preserve">Target artifact: </w:t>
      </w:r>
      <w:r>
        <w:rPr>
          <w:rFonts w:ascii="Calibri" w:hAnsi="Calibri"/>
          <w:b w:val="0"/>
          <w:sz w:val="20"/>
        </w:rPr>
        <w:t>p03-full-004454</w:t>
      </w:r>
    </w:p>
    <w:p>
      <w:pPr>
        <w:spacing w:after="40" w:line="252" w:lineRule="auto"/>
      </w:pPr>
      <w:r>
        <w:rPr>
          <w:rFonts w:ascii="Calibri" w:hAnsi="Calibri"/>
          <w:b/>
          <w:color w:val="143D59"/>
          <w:sz w:val="20"/>
        </w:rPr>
        <w:t xml:space="preserve">Target review date: </w:t>
      </w:r>
      <w:r>
        <w:rPr>
          <w:rFonts w:ascii="Calibri" w:hAnsi="Calibri"/>
          <w:b w:val="0"/>
          <w:sz w:val="20"/>
        </w:rPr>
        <w:t>2026-07-14</w:t>
      </w:r>
    </w:p>
    <w:p>
      <w:pPr>
        <w:spacing w:after="40" w:line="252" w:lineRule="auto"/>
      </w:pPr>
      <w:r>
        <w:rPr>
          <w:rFonts w:ascii="Calibri" w:hAnsi="Calibri"/>
          <w:b/>
          <w:color w:val="143D59"/>
          <w:sz w:val="20"/>
        </w:rPr>
        <w:t xml:space="preserve">Source dependency: </w:t>
      </w:r>
      <w:r>
        <w:rPr>
          <w:rFonts w:ascii="Calibri" w:hAnsi="Calibri"/>
          <w:b w:val="0"/>
          <w:sz w:val="20"/>
        </w:rPr>
        <w:t>p03-full-000636</w:t>
      </w:r>
    </w:p>
    <w:p>
      <w:pPr>
        <w:spacing w:after="40" w:line="252" w:lineRule="auto"/>
      </w:pPr>
      <w:r>
        <w:rPr>
          <w:rFonts w:ascii="Calibri" w:hAnsi="Calibri"/>
          <w:b/>
          <w:color w:val="143D59"/>
          <w:sz w:val="20"/>
        </w:rPr>
        <w:t xml:space="preserve">Source record date: </w:t>
      </w:r>
      <w:r>
        <w:rPr>
          <w:rFonts w:ascii="Calibri" w:hAnsi="Calibri"/>
          <w:b w:val="0"/>
          <w:sz w:val="20"/>
        </w:rPr>
        <w:t>2026-07-13</w:t>
      </w:r>
    </w:p>
    <w:p>
      <w:pPr>
        <w:spacing w:after="40" w:line="252" w:lineRule="auto"/>
      </w:pPr>
      <w:r>
        <w:rPr>
          <w:rFonts w:ascii="Calibri" w:hAnsi="Calibri"/>
          <w:b/>
          <w:color w:val="143D59"/>
          <w:sz w:val="20"/>
        </w:rPr>
        <w:t xml:space="preserve">Source filename: </w:t>
      </w:r>
      <w:r>
        <w:rPr>
          <w:rFonts w:ascii="Calibri" w:hAnsi="Calibri"/>
          <w:b w:val="0"/>
          <w:sz w:val="20"/>
        </w:rPr>
        <w:t>2026-07-13-team-assurance-handoff-evidence-metrics-csv-s000636.csv</w:t>
      </w:r>
    </w:p>
    <w:p>
      <w:pPr>
        <w:spacing w:after="40" w:line="252" w:lineRule="auto"/>
      </w:pPr>
      <w:r>
        <w:rPr>
          <w:rFonts w:ascii="Calibri" w:hAnsi="Calibri"/>
          <w:b/>
          <w:color w:val="143D59"/>
          <w:sz w:val="20"/>
        </w:rPr>
        <w:t xml:space="preserve">Source slot: </w:t>
      </w:r>
      <w:r>
        <w:rPr>
          <w:rFonts w:ascii="Calibri" w:hAnsi="Calibri"/>
          <w:b w:val="0"/>
          <w:sz w:val="20"/>
        </w:rPr>
        <w:t>000636</w:t>
      </w:r>
    </w:p>
    <w:tbl>
      <w:tblPr>
        <w:tblW w:type="auto" w:w="0"/>
        <w:jc w:val="left"/>
        <w:tblLayout w:type="fixed"/>
        <w:tblLook w:firstColumn="1" w:firstRow="1" w:lastColumn="0" w:lastRow="0" w:noHBand="0" w:noVBand="1" w:val="04A0"/>
      </w:tblPr>
      <w:tblGrid>
        <w:gridCol w:w="2880"/>
        <w:gridCol w:w="5616"/>
      </w:tblGrid>
      <w:tr>
        <w:tc>
          <w:tcPr>
            <w:tcW w:type="dxa" w:w="2880"/>
            <w:vAlign w:val="center"/>
            <w:shd w:fill="E8EEF5"/>
          </w:tcPr>
          <w:p>
            <w:r>
              <w:rPr>
                <w:rFonts w:ascii="Calibri" w:hAnsi="Calibri"/>
                <w:b/>
                <w:color w:val="143D59"/>
                <w:sz w:val="18"/>
              </w:rPr>
              <w:t>Parsed evidence field</w:t>
            </w:r>
          </w:p>
        </w:tc>
        <w:tc>
          <w:tcPr>
            <w:tcW w:type="dxa" w:w="5616"/>
            <w:vAlign w:val="center"/>
            <w:shd w:fill="E8EEF5"/>
          </w:tcPr>
          <w:p>
            <w:r>
              <w:rPr>
                <w:rFonts w:ascii="Calibri" w:hAnsi="Calibri"/>
                <w:b/>
                <w:color w:val="143D59"/>
                <w:sz w:val="18"/>
              </w:rPr>
              <w:t>Parsed source fact</w:t>
            </w:r>
          </w:p>
        </w:tc>
      </w:tr>
      <w:tr>
        <w:tc>
          <w:tcPr>
            <w:tcW w:type="dxa" w:w="2880"/>
            <w:vAlign w:val="center"/>
          </w:tcPr>
          <w:p>
            <w:r>
              <w:rPr>
                <w:rFonts w:ascii="Calibri" w:hAnsi="Calibri"/>
                <w:b/>
                <w:color w:val="143D59"/>
                <w:sz w:val="18"/>
              </w:rPr>
              <w:t>Team / topic</w:t>
            </w:r>
          </w:p>
        </w:tc>
        <w:tc>
          <w:tcPr>
            <w:tcW w:type="dxa" w:w="5616"/>
            <w:vAlign w:val="center"/>
          </w:tcPr>
          <w:p>
            <w:r>
              <w:rPr>
                <w:rFonts w:ascii="Calibri" w:hAnsi="Calibri"/>
                <w:b w:val="0"/>
                <w:sz w:val="18"/>
              </w:rPr>
              <w:t>Security GRC / handoff</w:t>
            </w:r>
          </w:p>
        </w:tc>
      </w:tr>
      <w:tr>
        <w:tc>
          <w:tcPr>
            <w:tcW w:type="dxa" w:w="2880"/>
            <w:vAlign w:val="center"/>
          </w:tcPr>
          <w:p>
            <w:r>
              <w:rPr>
                <w:rFonts w:ascii="Calibri" w:hAnsi="Calibri"/>
                <w:b/>
                <w:color w:val="143D59"/>
                <w:sz w:val="18"/>
              </w:rPr>
              <w:t>Record focus</w:t>
            </w:r>
          </w:p>
        </w:tc>
        <w:tc>
          <w:tcPr>
            <w:tcW w:type="dxa" w:w="5616"/>
            <w:vAlign w:val="center"/>
          </w:tcPr>
          <w:p>
            <w:r>
              <w:rPr>
                <w:rFonts w:ascii="Calibri" w:hAnsi="Calibri"/>
                <w:b w:val="0"/>
                <w:sz w:val="18"/>
              </w:rPr>
              <w:t>evidence metrics reconciliation</w:t>
            </w:r>
          </w:p>
        </w:tc>
      </w:tr>
      <w:tr>
        <w:tc>
          <w:tcPr>
            <w:tcW w:type="dxa" w:w="2880"/>
            <w:vAlign w:val="center"/>
          </w:tcPr>
          <w:p>
            <w:r>
              <w:rPr>
                <w:rFonts w:ascii="Calibri" w:hAnsi="Calibri"/>
                <w:b/>
                <w:color w:val="143D59"/>
                <w:sz w:val="18"/>
              </w:rPr>
              <w:t>Population / timely / final</w:t>
            </w:r>
          </w:p>
        </w:tc>
        <w:tc>
          <w:tcPr>
            <w:tcW w:type="dxa" w:w="5616"/>
            <w:vAlign w:val="center"/>
          </w:tcPr>
          <w:p>
            <w:r>
              <w:rPr>
                <w:rFonts w:ascii="Calibri" w:hAnsi="Calibri"/>
                <w:b w:val="0"/>
                <w:sz w:val="18"/>
              </w:rPr>
              <w:t>48 / 47 / 48</w:t>
            </w:r>
          </w:p>
        </w:tc>
      </w:tr>
      <w:tr>
        <w:tc>
          <w:tcPr>
            <w:tcW w:type="dxa" w:w="2880"/>
            <w:vAlign w:val="center"/>
          </w:tcPr>
          <w:p>
            <w:r>
              <w:rPr>
                <w:rFonts w:ascii="Calibri" w:hAnsi="Calibri"/>
                <w:b/>
                <w:color w:val="143D59"/>
                <w:sz w:val="18"/>
              </w:rPr>
              <w:t>Risk / evidence set</w:t>
            </w:r>
          </w:p>
        </w:tc>
        <w:tc>
          <w:tcPr>
            <w:tcW w:type="dxa" w:w="5616"/>
            <w:vAlign w:val="center"/>
          </w:tcPr>
          <w:p>
            <w:r>
              <w:rPr>
                <w:rFonts w:ascii="Calibri" w:hAnsi="Calibri"/>
                <w:b w:val="0"/>
                <w:sz w:val="18"/>
              </w:rPr>
              <w:t>Medium / 184</w:t>
            </w:r>
          </w:p>
        </w:tc>
      </w:tr>
      <w:tr>
        <w:tc>
          <w:tcPr>
            <w:tcW w:type="dxa" w:w="2880"/>
            <w:vAlign w:val="center"/>
          </w:tcPr>
          <w:p>
            <w:r>
              <w:rPr>
                <w:rFonts w:ascii="Calibri" w:hAnsi="Calibri"/>
                <w:b/>
                <w:color w:val="143D59"/>
                <w:sz w:val="18"/>
              </w:rPr>
              <w:t>Classification</w:t>
            </w:r>
          </w:p>
        </w:tc>
        <w:tc>
          <w:tcPr>
            <w:tcW w:type="dxa" w:w="5616"/>
            <w:vAlign w:val="center"/>
          </w:tcPr>
          <w:p>
            <w:r>
              <w:rPr>
                <w:rFonts w:ascii="Calibri" w:hAnsi="Calibri"/>
                <w:b w:val="0"/>
                <w:sz w:val="18"/>
              </w:rPr>
              <w:t>synthetic-defensive</w:t>
            </w:r>
          </w:p>
        </w:tc>
      </w:tr>
    </w:tbl>
    <w:p>
      <w:pPr>
        <w:spacing w:before="160" w:after="60"/>
      </w:pPr>
      <w:r>
        <w:rPr>
          <w:rFonts w:ascii="Calibri" w:hAnsi="Calibri"/>
          <w:b/>
          <w:color w:val="1F5A7A"/>
          <w:sz w:val="22"/>
        </w:rPr>
        <w:t>Evidence test method</w:t>
      </w:r>
    </w:p>
    <w:p>
      <w:pPr>
        <w:spacing w:after="100" w:line="259" w:lineRule="auto"/>
      </w:pPr>
      <w:r>
        <w:rPr>
          <w:rFonts w:ascii="Calibri" w:hAnsi="Calibri"/>
          <w:b w:val="0"/>
          <w:sz w:val="20"/>
        </w:rPr>
        <w:t>Sampled the source’s 48-record population, timely-attestation count, final-completion count, and intake/close timing note against the session agenda.</w:t>
      </w:r>
    </w:p>
    <w:p>
      <w:pPr>
        <w:spacing w:before="160" w:after="60"/>
      </w:pPr>
      <w:r>
        <w:rPr>
          <w:rFonts w:ascii="Calibri" w:hAnsi="Calibri"/>
          <w:b/>
          <w:color w:val="1F5A7A"/>
          <w:sz w:val="22"/>
        </w:rPr>
        <w:t>Finding</w:t>
      </w:r>
    </w:p>
    <w:p>
      <w:pPr>
        <w:spacing w:after="100" w:line="259" w:lineRule="auto"/>
      </w:pPr>
      <w:r>
        <w:rPr>
          <w:rFonts w:ascii="Calibri" w:hAnsi="Calibri"/>
          <w:b w:val="0"/>
          <w:sz w:val="20"/>
        </w:rPr>
        <w:t>The handoff supplies the reconciliation baseline: 47 timely attestations, 48 final completions, evidence set 184, and Medium residual risk.</w:t>
      </w:r>
    </w:p>
    <w:p>
      <w:pPr>
        <w:spacing w:before="160" w:after="60"/>
      </w:pPr>
      <w:r>
        <w:rPr>
          <w:rFonts w:ascii="Calibri" w:hAnsi="Calibri"/>
          <w:b/>
          <w:color w:val="1F5A7A"/>
          <w:sz w:val="22"/>
        </w:rPr>
        <w:t>Decision / disposition</w:t>
      </w:r>
    </w:p>
    <w:p>
      <w:pPr>
        <w:spacing w:after="100" w:line="259" w:lineRule="auto"/>
      </w:pPr>
      <w:r>
        <w:rPr>
          <w:rFonts w:ascii="Calibri" w:hAnsi="Calibri"/>
          <w:b w:val="0"/>
          <w:sz w:val="20"/>
        </w:rPr>
        <w:t>Use the handoff as the session’s evidence anchor and retain a separate July 14 decision record for reviewer judgement.</w:t>
      </w:r>
    </w:p>
    <w:p>
      <w:pPr>
        <w:spacing w:before="160" w:after="60"/>
      </w:pPr>
      <w:r>
        <w:rPr>
          <w:rFonts w:ascii="Calibri" w:hAnsi="Calibri"/>
          <w:b/>
          <w:color w:val="1F5A7A"/>
          <w:sz w:val="22"/>
        </w:rPr>
        <w:t>Follow-up action</w:t>
      </w:r>
    </w:p>
    <w:p>
      <w:pPr>
        <w:spacing w:after="100" w:line="259" w:lineRule="auto"/>
      </w:pPr>
      <w:r>
        <w:rPr>
          <w:rFonts w:ascii="Calibri" w:hAnsi="Calibri"/>
          <w:b w:val="0"/>
          <w:sz w:val="20"/>
        </w:rPr>
        <w:t>The session chair logs the source-file reference with the review agenda and assigns the next risk-treatment check to Security GRC.</w:t>
      </w:r>
    </w:p>
    <w:p>
      <w:pPr>
        <w:spacing w:before="160" w:after="60"/>
      </w:pPr>
      <w:r>
        <w:rPr>
          <w:rFonts w:ascii="Calibri" w:hAnsi="Calibri"/>
          <w:b/>
          <w:color w:val="1F5A7A"/>
          <w:sz w:val="22"/>
        </w:rPr>
        <w:t>Boundary note</w:t>
      </w:r>
    </w:p>
    <w:p>
      <w:pPr>
        <w:spacing w:after="100" w:line="259" w:lineRule="auto"/>
      </w:pPr>
      <w:r>
        <w:rPr>
          <w:rFonts w:ascii="Calibri" w:hAnsi="Calibri"/>
          <w:b w:val="0"/>
          <w:sz w:val="20"/>
        </w:rPr>
        <w:t>This document is a synthetic defensive review for Cobalt Harbor Systems. It preserves the target review date separately from the source record date and does not assert any operational system result beyond the local evidence record.</w:t>
      </w:r>
    </w:p>
    <w:sectPr w:rsidR="00FC693F" w:rsidRPr="0006063C" w:rsidSect="00034616">
      <w:headerReference w:type="default" r:id="rId9"/>
      <w:footerReference w:type="default" r:id="rId10"/>
      <w:pgSz w:w="12240" w:h="15840"/>
      <w:pgMar w:top="950" w:right="1123" w:bottom="864"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A6672"/>
        <w:sz w:val="16"/>
      </w:rPr>
      <w:t>Synthetic defensive GRC evidence — no Kio indexing, history, chunk, search, or performance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672"/>
        <w:sz w:val="16"/>
      </w:rPr>
      <w:t>COBALT HARBOR SYSTEMS  |  AC-27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AC-27 Evidence Decision Record</dc:title>
  <dc:subject>p03-full-004454</dc:subject>
  <dc:creator>Cobalt Harbor Systems</dc:creator>
  <cp:keywords>synthetic, defensive, GRC, AC-27</cp:keywords>
  <dc:description>generated by python-docx</dc:description>
  <cp:lastModifiedBy/>
  <cp:revision>1</cp:revision>
  <dcterms:created xsi:type="dcterms:W3CDTF">2013-12-23T23:15:00Z</dcterms:created>
  <dcterms:modified xsi:type="dcterms:W3CDTF">2013-12-23T23:15:00Z</dcterms:modified>
  <cp:category/>
</cp:coreProperties>
</file>