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5A7A"/>
          <w:sz w:val="18"/>
        </w:rPr>
        <w:t>REVIEW NOTE</w:t>
      </w:r>
    </w:p>
    <w:p>
      <w:pPr>
        <w:spacing w:after="100"/>
      </w:pPr>
      <w:r>
        <w:rPr>
          <w:rFonts w:ascii="Calibri" w:hAnsi="Calibri"/>
          <w:b/>
          <w:color w:val="12354A"/>
          <w:sz w:val="36"/>
        </w:rPr>
        <w:t>AC-27 Evidence Decision Record</w:t>
      </w:r>
    </w:p>
    <w:p>
      <w:pPr>
        <w:spacing w:after="180"/>
      </w:pPr>
      <w:r>
        <w:rPr>
          <w:rFonts w:ascii="Calibri" w:hAnsi="Calibri"/>
          <w:b w:val="0"/>
          <w:color w:val="373737"/>
          <w:sz w:val="22"/>
        </w:rPr>
        <w:t>Does the control-owner validation support a retention disposition for the completed AC-27 evidence set?</w:t>
      </w:r>
    </w:p>
    <w:p>
      <w:pPr>
        <w:spacing w:after="40" w:line="252" w:lineRule="auto"/>
      </w:pPr>
      <w:r>
        <w:rPr>
          <w:rFonts w:ascii="Calibri" w:hAnsi="Calibri"/>
          <w:b/>
          <w:color w:val="143D59"/>
          <w:sz w:val="20"/>
        </w:rPr>
        <w:t xml:space="preserve">Target artifact: </w:t>
      </w:r>
      <w:r>
        <w:rPr>
          <w:rFonts w:ascii="Calibri" w:hAnsi="Calibri"/>
          <w:b w:val="0"/>
          <w:sz w:val="20"/>
        </w:rPr>
        <w:t>p03-full-003972</w:t>
      </w:r>
    </w:p>
    <w:p>
      <w:pPr>
        <w:spacing w:after="40" w:line="252" w:lineRule="auto"/>
      </w:pPr>
      <w:r>
        <w:rPr>
          <w:rFonts w:ascii="Calibri" w:hAnsi="Calibri"/>
          <w:b/>
          <w:color w:val="143D59"/>
          <w:sz w:val="20"/>
        </w:rPr>
        <w:t xml:space="preserve">Target review date: </w:t>
      </w:r>
      <w:r>
        <w:rPr>
          <w:rFonts w:ascii="Calibri" w:hAnsi="Calibri"/>
          <w:b w:val="0"/>
          <w:sz w:val="20"/>
        </w:rPr>
        <w:t>2026-07-15</w:t>
      </w:r>
    </w:p>
    <w:p>
      <w:pPr>
        <w:spacing w:after="40" w:line="252" w:lineRule="auto"/>
      </w:pPr>
      <w:r>
        <w:rPr>
          <w:rFonts w:ascii="Calibri" w:hAnsi="Calibri"/>
          <w:b/>
          <w:color w:val="143D59"/>
          <w:sz w:val="20"/>
        </w:rPr>
        <w:t xml:space="preserve">Source dependency: </w:t>
      </w:r>
      <w:r>
        <w:rPr>
          <w:rFonts w:ascii="Calibri" w:hAnsi="Calibri"/>
          <w:b w:val="0"/>
          <w:sz w:val="20"/>
        </w:rPr>
        <w:t>p03-full-000123</w:t>
      </w:r>
    </w:p>
    <w:p>
      <w:pPr>
        <w:spacing w:after="40" w:line="252" w:lineRule="auto"/>
      </w:pPr>
      <w:r>
        <w:rPr>
          <w:rFonts w:ascii="Calibri" w:hAnsi="Calibri"/>
          <w:b/>
          <w:color w:val="143D59"/>
          <w:sz w:val="20"/>
        </w:rPr>
        <w:t xml:space="preserve">Source record date: </w:t>
      </w:r>
      <w:r>
        <w:rPr>
          <w:rFonts w:ascii="Calibri" w:hAnsi="Calibri"/>
          <w:b w:val="0"/>
          <w:sz w:val="20"/>
        </w:rPr>
        <w:t>2026-07-15</w:t>
      </w:r>
    </w:p>
    <w:p>
      <w:pPr>
        <w:spacing w:after="40" w:line="252" w:lineRule="auto"/>
      </w:pPr>
      <w:r>
        <w:rPr>
          <w:rFonts w:ascii="Calibri" w:hAnsi="Calibri"/>
          <w:b/>
          <w:color w:val="143D59"/>
          <w:sz w:val="20"/>
        </w:rPr>
        <w:t xml:space="preserve">Source filename: </w:t>
      </w:r>
      <w:r>
        <w:rPr>
          <w:rFonts w:ascii="Calibri" w:hAnsi="Calibri"/>
          <w:b w:val="0"/>
          <w:sz w:val="20"/>
        </w:rPr>
        <w:t>2026-07-15-team-assurance-decision-summary-evidence-metrics-csv-s000123.csv</w:t>
      </w:r>
    </w:p>
    <w:p>
      <w:pPr>
        <w:spacing w:after="40" w:line="252" w:lineRule="auto"/>
      </w:pPr>
      <w:r>
        <w:rPr>
          <w:rFonts w:ascii="Calibri" w:hAnsi="Calibri"/>
          <w:b/>
          <w:color w:val="143D59"/>
          <w:sz w:val="20"/>
        </w:rPr>
        <w:t xml:space="preserve">Source slot: </w:t>
      </w:r>
      <w:r>
        <w:rPr>
          <w:rFonts w:ascii="Calibri" w:hAnsi="Calibri"/>
          <w:b w:val="0"/>
          <w:sz w:val="20"/>
        </w:rPr>
        <w:t>000123</w:t>
      </w:r>
    </w:p>
    <w:tbl>
      <w:tblPr>
        <w:tblW w:type="auto" w:w="0"/>
        <w:jc w:val="left"/>
        <w:tblLayout w:type="fixed"/>
        <w:tblLook w:firstColumn="1" w:firstRow="1" w:lastColumn="0" w:lastRow="0" w:noHBand="0" w:noVBand="1" w:val="04A0"/>
      </w:tblPr>
      <w:tblGrid>
        <w:gridCol w:w="2880"/>
        <w:gridCol w:w="5616"/>
      </w:tblGrid>
      <w:tr>
        <w:tc>
          <w:tcPr>
            <w:tcW w:type="dxa" w:w="2880"/>
            <w:vAlign w:val="center"/>
            <w:shd w:fill="E8EEF5"/>
          </w:tcPr>
          <w:p>
            <w:r>
              <w:rPr>
                <w:rFonts w:ascii="Calibri" w:hAnsi="Calibri"/>
                <w:b/>
                <w:color w:val="143D59"/>
                <w:sz w:val="18"/>
              </w:rPr>
              <w:t>Parsed evidence field</w:t>
            </w:r>
          </w:p>
        </w:tc>
        <w:tc>
          <w:tcPr>
            <w:tcW w:type="dxa" w:w="5616"/>
            <w:vAlign w:val="center"/>
            <w:shd w:fill="E8EEF5"/>
          </w:tcPr>
          <w:p>
            <w:r>
              <w:rPr>
                <w:rFonts w:ascii="Calibri" w:hAnsi="Calibri"/>
                <w:b/>
                <w:color w:val="143D59"/>
                <w:sz w:val="18"/>
              </w:rPr>
              <w:t>Parsed source fact</w:t>
            </w:r>
          </w:p>
        </w:tc>
      </w:tr>
      <w:tr>
        <w:tc>
          <w:tcPr>
            <w:tcW w:type="dxa" w:w="2880"/>
            <w:vAlign w:val="center"/>
          </w:tcPr>
          <w:p>
            <w:r>
              <w:rPr>
                <w:rFonts w:ascii="Calibri" w:hAnsi="Calibri"/>
                <w:b/>
                <w:color w:val="143D59"/>
                <w:sz w:val="18"/>
              </w:rPr>
              <w:t>Team / topic</w:t>
            </w:r>
          </w:p>
        </w:tc>
        <w:tc>
          <w:tcPr>
            <w:tcW w:type="dxa" w:w="5616"/>
            <w:vAlign w:val="center"/>
          </w:tcPr>
          <w:p>
            <w:r>
              <w:rPr>
                <w:rFonts w:ascii="Calibri" w:hAnsi="Calibri"/>
                <w:b w:val="0"/>
                <w:sz w:val="18"/>
              </w:rPr>
              <w:t>Security GRC / decision-summary</w:t>
            </w:r>
          </w:p>
        </w:tc>
      </w:tr>
      <w:tr>
        <w:tc>
          <w:tcPr>
            <w:tcW w:type="dxa" w:w="2880"/>
            <w:vAlign w:val="center"/>
          </w:tcPr>
          <w:p>
            <w:r>
              <w:rPr>
                <w:rFonts w:ascii="Calibri" w:hAnsi="Calibri"/>
                <w:b/>
                <w:color w:val="143D59"/>
                <w:sz w:val="18"/>
              </w:rPr>
              <w:t>Record focus</w:t>
            </w:r>
          </w:p>
        </w:tc>
        <w:tc>
          <w:tcPr>
            <w:tcW w:type="dxa" w:w="5616"/>
            <w:vAlign w:val="center"/>
          </w:tcPr>
          <w:p>
            <w:r>
              <w:rPr>
                <w:rFonts w:ascii="Calibri" w:hAnsi="Calibri"/>
                <w:b w:val="0"/>
                <w:sz w:val="18"/>
              </w:rPr>
              <w:t>evidence metrics reconciliation</w:t>
            </w:r>
          </w:p>
        </w:tc>
      </w:tr>
      <w:tr>
        <w:tc>
          <w:tcPr>
            <w:tcW w:type="dxa" w:w="2880"/>
            <w:vAlign w:val="center"/>
          </w:tcPr>
          <w:p>
            <w:r>
              <w:rPr>
                <w:rFonts w:ascii="Calibri" w:hAnsi="Calibri"/>
                <w:b/>
                <w:color w:val="143D59"/>
                <w:sz w:val="18"/>
              </w:rPr>
              <w:t>Population / timely / final</w:t>
            </w:r>
          </w:p>
        </w:tc>
        <w:tc>
          <w:tcPr>
            <w:tcW w:type="dxa" w:w="5616"/>
            <w:vAlign w:val="center"/>
          </w:tcPr>
          <w:p>
            <w:r>
              <w:rPr>
                <w:rFonts w:ascii="Calibri" w:hAnsi="Calibri"/>
                <w:b w:val="0"/>
                <w:sz w:val="18"/>
              </w:rPr>
              <w:t>48 / 47 / 48</w:t>
            </w:r>
          </w:p>
        </w:tc>
      </w:tr>
      <w:tr>
        <w:tc>
          <w:tcPr>
            <w:tcW w:type="dxa" w:w="2880"/>
            <w:vAlign w:val="center"/>
          </w:tcPr>
          <w:p>
            <w:r>
              <w:rPr>
                <w:rFonts w:ascii="Calibri" w:hAnsi="Calibri"/>
                <w:b/>
                <w:color w:val="143D59"/>
                <w:sz w:val="18"/>
              </w:rPr>
              <w:t>Risk / evidence set</w:t>
            </w:r>
          </w:p>
        </w:tc>
        <w:tc>
          <w:tcPr>
            <w:tcW w:type="dxa" w:w="5616"/>
            <w:vAlign w:val="center"/>
          </w:tcPr>
          <w:p>
            <w:r>
              <w:rPr>
                <w:rFonts w:ascii="Calibri" w:hAnsi="Calibri"/>
                <w:b w:val="0"/>
                <w:sz w:val="18"/>
              </w:rPr>
              <w:t>Medium / 184</w:t>
            </w:r>
          </w:p>
        </w:tc>
      </w:tr>
      <w:tr>
        <w:tc>
          <w:tcPr>
            <w:tcW w:type="dxa" w:w="2880"/>
            <w:vAlign w:val="center"/>
          </w:tcPr>
          <w:p>
            <w:r>
              <w:rPr>
                <w:rFonts w:ascii="Calibri" w:hAnsi="Calibri"/>
                <w:b/>
                <w:color w:val="143D59"/>
                <w:sz w:val="18"/>
              </w:rPr>
              <w:t>Classification</w:t>
            </w:r>
          </w:p>
        </w:tc>
        <w:tc>
          <w:tcPr>
            <w:tcW w:type="dxa" w:w="5616"/>
            <w:vAlign w:val="center"/>
          </w:tcPr>
          <w:p>
            <w:r>
              <w:rPr>
                <w:rFonts w:ascii="Calibri" w:hAnsi="Calibri"/>
                <w:b w:val="0"/>
                <w:sz w:val="18"/>
              </w:rPr>
              <w:t>synthetic-defensive</w:t>
            </w:r>
          </w:p>
        </w:tc>
      </w:tr>
    </w:tbl>
    <w:p>
      <w:pPr>
        <w:spacing w:before="160" w:after="60"/>
      </w:pPr>
      <w:r>
        <w:rPr>
          <w:rFonts w:ascii="Calibri" w:hAnsi="Calibri"/>
          <w:b/>
          <w:color w:val="1F5A7A"/>
          <w:sz w:val="22"/>
        </w:rPr>
        <w:t>Evidence test method</w:t>
      </w:r>
    </w:p>
    <w:p>
      <w:pPr>
        <w:spacing w:after="100" w:line="259" w:lineRule="auto"/>
      </w:pPr>
      <w:r>
        <w:rPr>
          <w:rFonts w:ascii="Calibri" w:hAnsi="Calibri"/>
          <w:b w:val="0"/>
          <w:sz w:val="20"/>
        </w:rPr>
        <w:t>Reconciled the decision-summary population and completion fields to the source file, then checked that the target disposition speaks only to retention and remediation planning.</w:t>
      </w:r>
    </w:p>
    <w:p>
      <w:pPr>
        <w:spacing w:before="160" w:after="60"/>
      </w:pPr>
      <w:r>
        <w:rPr>
          <w:rFonts w:ascii="Calibri" w:hAnsi="Calibri"/>
          <w:b/>
          <w:color w:val="1F5A7A"/>
          <w:sz w:val="22"/>
        </w:rPr>
        <w:t>Finding</w:t>
      </w:r>
    </w:p>
    <w:p>
      <w:pPr>
        <w:spacing w:after="100" w:line="259" w:lineRule="auto"/>
      </w:pPr>
      <w:r>
        <w:rPr>
          <w:rFonts w:ascii="Calibri" w:hAnsi="Calibri"/>
          <w:b w:val="0"/>
          <w:sz w:val="20"/>
        </w:rPr>
        <w:t>All 48 records are finally complete; 47 were timely, and the remaining documented timing history supports a Medium residual-risk posture.</w:t>
      </w:r>
    </w:p>
    <w:p>
      <w:pPr>
        <w:spacing w:before="160" w:after="60"/>
      </w:pPr>
      <w:r>
        <w:rPr>
          <w:rFonts w:ascii="Calibri" w:hAnsi="Calibri"/>
          <w:b/>
          <w:color w:val="1F5A7A"/>
          <w:sz w:val="22"/>
        </w:rPr>
        <w:t>Decision / disposition</w:t>
      </w:r>
    </w:p>
    <w:p>
      <w:pPr>
        <w:spacing w:after="100" w:line="259" w:lineRule="auto"/>
      </w:pPr>
      <w:r>
        <w:rPr>
          <w:rFonts w:ascii="Calibri" w:hAnsi="Calibri"/>
          <w:b w:val="0"/>
          <w:sz w:val="20"/>
        </w:rPr>
        <w:t>Approve retention of the evidence reference and carry the remediation-plan validation into the next GRC tracking review.</w:t>
      </w:r>
    </w:p>
    <w:p>
      <w:pPr>
        <w:spacing w:before="160" w:after="60"/>
      </w:pPr>
      <w:r>
        <w:rPr>
          <w:rFonts w:ascii="Calibri" w:hAnsi="Calibri"/>
          <w:b/>
          <w:color w:val="1F5A7A"/>
          <w:sz w:val="22"/>
        </w:rPr>
        <w:t>Follow-up action</w:t>
      </w:r>
    </w:p>
    <w:p>
      <w:pPr>
        <w:spacing w:after="100" w:line="259" w:lineRule="auto"/>
      </w:pPr>
      <w:r>
        <w:rPr>
          <w:rFonts w:ascii="Calibri" w:hAnsi="Calibri"/>
          <w:b w:val="0"/>
          <w:sz w:val="20"/>
        </w:rPr>
        <w:t>Security GRC records the retention disposition and links RISK-031 to the evidence-set 184 review note.</w:t>
      </w:r>
    </w:p>
    <w:p>
      <w:pPr>
        <w:spacing w:before="160" w:after="60"/>
      </w:pPr>
      <w:r>
        <w:rPr>
          <w:rFonts w:ascii="Calibri" w:hAnsi="Calibri"/>
          <w:b/>
          <w:color w:val="1F5A7A"/>
          <w:sz w:val="22"/>
        </w:rPr>
        <w:t>Boundary note</w:t>
      </w:r>
    </w:p>
    <w:p>
      <w:pPr>
        <w:spacing w:after="100" w:line="259" w:lineRule="auto"/>
      </w:pPr>
      <w:r>
        <w:rPr>
          <w:rFonts w:ascii="Calibri" w:hAnsi="Calibri"/>
          <w:b w:val="0"/>
          <w:sz w:val="20"/>
        </w:rPr>
        <w:t>This document is a synthetic defensive review for Cobalt Harbor Systems. It preserves the target review date separately from the source record date and does not assert any operational system result beyond the local evidence record.</w:t>
      </w:r>
    </w:p>
    <w:sectPr w:rsidR="00FC693F" w:rsidRPr="0006063C" w:rsidSect="00034616">
      <w:headerReference w:type="default" r:id="rId9"/>
      <w:footerReference w:type="default" r:id="rId10"/>
      <w:pgSz w:w="12240" w:h="15840"/>
      <w:pgMar w:top="950"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672"/>
        <w:sz w:val="16"/>
      </w:rPr>
      <w:t>Synthetic defensive GRC evidence — no Kio indexing, history, chunk, search, or performance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672"/>
        <w:sz w:val="16"/>
      </w:rPr>
      <w:t>COBALT HARBOR SYSTEMS  |  AC-27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AC-27 Evidence Decision Record</dc:title>
  <dc:subject>p03-full-003972</dc:subject>
  <dc:creator>Cobalt Harbor Systems</dc:creator>
  <cp:keywords>synthetic, defensive, GRC, AC-27</cp:keywords>
  <dc:description>generated by python-docx</dc:description>
  <cp:lastModifiedBy/>
  <cp:revision>1</cp:revision>
  <dcterms:created xsi:type="dcterms:W3CDTF">2013-12-23T23:15:00Z</dcterms:created>
  <dcterms:modified xsi:type="dcterms:W3CDTF">2013-12-23T23:15:00Z</dcterms:modified>
  <cp:category/>
</cp:coreProperties>
</file>