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141c21c7ce8e040b4f9d36f026e1b5361b648c"/>
    <w:p>
      <w:pPr>
        <w:pStyle w:val="Heading1"/>
      </w:pPr>
      <w:r>
        <w:t xml:space="preserve">2026 07 14 reference control taxonomy review document docx s004032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p03-full-000579 at documents/reference/foundation/data/2026-07-15-reference-evidence-template-evidence-metrics-csv-s000579.csv;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2026-07-15-reference-evidence-template-evidence-metrics-csv-s000579; reference checkpoint: AC27-RF-vg;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compensating-measure"/>
    <w:p>
      <w:pPr>
        <w:pStyle w:val="Heading2"/>
      </w:pPr>
      <w:r>
        <w:t xml:space="preserve">Compensating Measure</w:t>
      </w:r>
    </w:p>
    <w:p>
      <w:pPr>
        <w:pStyle w:val="FirstParagraph"/>
      </w:pPr>
      <w:r>
        <w:t xml:space="preserve">Causal question: Identify the precise compensating-review step and test whether it addresses the missed attestation rather than a different condition.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records-architecture"/>
    <w:p>
      <w:pPr>
        <w:pStyle w:val="Heading2"/>
      </w:pPr>
      <w:r>
        <w:t xml:space="preserve">Records Architecture</w:t>
      </w:r>
    </w:p>
    <w:p>
      <w:pPr>
        <w:pStyle w:val="FirstParagraph"/>
      </w:pPr>
      <w:r>
        <w:t xml:space="preserve">Inspect the record architecture: classification label, folder hierarchy, retention trigger, disposal hold, and cross-reference map. The assessment distinguishes a navigable archive from a merely populated folder and records the specific architectural weakness.</w:t>
      </w:r>
    </w:p>
    <w:p>
      <w:pPr>
        <w:pStyle w:val="BodyText"/>
      </w:pPr>
      <w:r>
        <w:t xml:space="preserve">Observation and interpretation: A compensating measure must be causally connected to the gap it offsets.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request a targeted compensating-review note from the GRC reviewer before accepting the exception.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p03-full-004032 is recorded against source p03-src-004032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p03-full-000579 (source p03-src-000579);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2026-08-24T14:30:56Z</dcterms:created>
  <dcterms:modified xsi:type="dcterms:W3CDTF">2026-08-24T14:30:56Z</dcterms:modified>
  <dc:subject>QA-v2 RISK-031 assurance evidence and traceability</dc:subject>
  <dc:description>QA-v2 traceability remediation for p03-full-004032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