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after="80"/>
      </ns0:pPr>
      <ns0:r>
        <ns0:rPr>
          <ns0:rFonts ns0:ascii="Calibri" ns0:hAnsi="Calibri"/>
          <ns0:b/>
          <ns0:color ns0:val="0B2545"/>
          <ns0:sz ns0:val="46"/>
        </ns0:rPr>
        <ns0:t>AC-27 REVIEW REFERENCE</ns0:t>
      </ns0:r>
    </ns0:p>
    <ns0:p>
      <ns0:pPr>
        <ns0:spacing ns0:after="240"/>
      </ns0:pPr>
      <ns0:r>
        <ns0:rPr>
          <ns0:color ns0:val="414141"/>
          <ns0:sz ns0:val="28"/>
        </ns0:rPr>
        <ns0:t>2026 07 20 Reference Review Guide Review Document Docx</ns0:t>
      </ns0:r>
    </ns0:p>
    <ns0:tbl>
      <ns0:tblPr>
        <ns0:tblW ns0:type="auto" ns0:w="0"/>
        <ns0:jc ns0:val="left"/>
        <ns0:tblLayout ns0:type="fixed"/>
        <ns0:tblLook ns0:firstColumn="1" ns0:firstRow="1" ns0:lastColumn="0" ns0:lastRow="0" ns0:noHBand="0" ns0:noVBand="1" ns0:val="04A0"/>
      </ns0:tblPr>
      <ns0:tblGrid>
        <ns0:gridCol ns0:w="4680"/>
        <ns0:gridCol ns0:w="4680"/>
      </ns0:tblGrid>
      <ns0:tr>
        <ns0:tc>
          <ns0:tcPr>
            <ns0:tcW ns0:type="dxa" ns0:w="1800"/>
            <ns0:vAlign ns0:val="center"/>
            <ns0:shd ns0:fill="E8EEF5"/>
          </ns0:tcPr>
          <ns0:p>
            <ns0:pPr>
              <ns0:spacing ns0:after="40"/>
            </ns0:pPr>
            <ns0:r/>
            <ns0:r>
              <ns0:rPr>
                <ns0:rFonts ns0:ascii="Calibri" ns0:hAnsi="Calibri" ns0:eastAsia="Calibri"/>
                <ns0:b/>
                <ns0:color ns0:val="0B2545"/>
                <ns0:sz ns0:val="20"/>
              </ns0:rPr>
              <ns0:t>Artifact</ns0:t>
            </ns0:r>
          </ns0:p>
        </ns0:tc>
        <ns0:tc>
          <ns0:tcPr>
            <ns0:tcW ns0:type="dxa" ns0:w="7560"/>
            <ns0:vAlign ns0:val="center"/>
          </ns0:tcPr>
          <ns0:p>
            <ns0:pPr>
              <ns0:spacing ns0:after="40"/>
            </ns0:pPr>
            <ns0:r/>
            <ns0:r>
              <ns0:rPr>
                <ns0:rFonts ns0:ascii="Calibri" ns0:hAnsi="Calibri" ns0:eastAsia="Calibri"/>
                <ns0:b ns0:val="0"/>
                <ns0:sz ns0:val="20"/>
              </ns0:rPr>
              <ns0:t>p03-full-002754</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Control</ns0:t>
            </ns0:r>
          </ns0:p>
        </ns0:tc>
        <ns0:tc>
          <ns0:tcPr>
            <ns0:tcW ns0:type="dxa" ns0:w="7560"/>
            <ns0:vAlign ns0:val="center"/>
          </ns0:tcPr>
          <ns0:p>
            <ns0:pPr>
              <ns0:spacing ns0:after="40"/>
            </ns0:pPr>
            <ns0:r/>
            <ns0:r>
              <ns0:rPr>
                <ns0:rFonts ns0:ascii="Calibri" ns0:hAnsi="Calibri" ns0:eastAsia="Calibri"/>
                <ns0:b ns0:val="0"/>
                <ns0:sz ns0:val="20"/>
              </ns0:rPr>
              <ns0:t>Aegis Control AC-27</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Evidence set</ns0:t>
            </ns0:r>
          </ns0:p>
        </ns0:tc>
        <ns0:tc>
          <ns0:tcPr>
            <ns0:tcW ns0:type="dxa" ns0:w="7560"/>
            <ns0:vAlign ns0:val="center"/>
          </ns0:tcPr>
          <ns0:p>
            <ns0:pPr>
              <ns0:spacing ns0:after="40"/>
            </ns0:pPr>
            <ns0:r/>
            <ns0:r>
              <ns0:rPr>
                <ns0:rFonts ns0:ascii="Calibri" ns0:hAnsi="Calibri" ns0:eastAsia="Calibri"/>
                <ns0:b ns0:val="0"/>
                <ns0:sz ns0:val="20"/>
              </ns0:rPr>
              <ns0:t>184 / CASE-260713-184</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Review status</ns0:t>
            </ns0:r>
          </ns0:p>
        </ns0:tc>
        <ns0:tc>
          <ns0:tcPr>
            <ns0:tcW ns0:type="dxa" ns0:w="7560"/>
            <ns0:vAlign ns0:val="center"/>
          </ns0:tcPr>
          <ns0:p>
            <ns0:pPr>
              <ns0:spacing ns0:after="40"/>
            </ns0:pPr>
            <ns0:r/>
            <ns0:r>
              <ns0:rPr>
                <ns0:rFonts ns0:ascii="Calibri" ns0:hAnsi="Calibri" ns0:eastAsia="Calibri"/>
                <ns0:b ns0:val="0"/>
                <ns0:sz ns0:val="20"/>
              </ns0:rPr>
              <ns0:t>Compensating review tracked; residual risk Medium</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Boundary</ns0:t>
            </ns0:r>
          </ns0:p>
        </ns0:tc>
        <ns0:tc>
          <ns0:tcPr>
            <ns0:tcW ns0:type="dxa" ns0:w="7560"/>
            <ns0:vAlign ns0:val="center"/>
          </ns0:tcPr>
          <ns0:p>
            <ns0:pPr>
              <ns0:spacing ns0:after="40"/>
            </ns0:pPr>
            <ns0:r/>
            <ns0:r>
              <ns0:rPr>
                <ns0:rFonts ns0:ascii="Calibri" ns0:hAnsi="Calibri" ns0:eastAsia="Calibri"/>
                <ns0:b ns0:val="0"/>
                <ns0:sz ns0:val="20"/>
              </ns0:rPr>
              <ns0:t>Synthetic defensive evidence only; no Kio indexing, history, search, or performance claim</ns0:t>
            </ns0:r>
          </ns0:p>
        </ns0:tc>
      </ns0:tr>
    </ns0:tbl>
    <ns0:p>
      <ns0:pPr>
        <ns0:spacing ns0:before="240" ns0:after="100"/>
      </ns0:pPr>
      <ns0:r>
        <ns0:rPr>
          <ns0:rFonts ns0:ascii="Calibri" ns0:hAnsi="Calibri"/>
          <ns0:b/>
          <ns0:color ns0:val="2E74B5"/>
          <ns0:sz ns0:val="32"/>
        </ns0:rPr>
        <ns0:t>Purpose and use</ns0:t>
      </ns0:r>
    </ns0:p>
    <ns0:p>
      <ns0:pPr>
        <ns0:spacing ns0:after="120" ns0:line="264" ns0:lineRule="auto"/>
      </ns0:pPr>
      <ns0:r>
        <ns0:rPr>
          <ns0:rFonts ns0:ascii="Calibri" ns0:hAnsi="Calibri"/>
          <ns0:sz ns0:val="20"/>
        </ns0:rPr>
        <ns0:t>This reference supports a bounded quarterly access-review evidence check for Cobalt Harbor Systems. It records the AC-27 evidence review method without asserting access to a live system or audit source.</ns0:t>
      </ns0:r>
    </ns0:p>
    <ns0:p>
      <ns0:pPr>
        <ns0:spacing ns0:before="240" ns0:after="100"/>
      </ns0:pPr>
      <ns0:r>
        <ns0:rPr>
          <ns0:rFonts ns0:ascii="Calibri" ns0:hAnsi="Calibri"/>
          <ns0:b/>
          <ns0:color ns0:val="2E74B5"/>
          <ns0:sz ns0:val="26"/>
        </ns0:rPr>
        <ns0:t>Review checkpoints</ns0:t>
      </ns0:r>
    </ns0:p>
    <ns0:p>
      <ns0:pPr>
        <ns0:pStyle ns0:val="ListBullet"/>
        <ns0:spacing ns0:after="60" ns0:line="264" ns0:lineRule="auto"/>
      </ns0:pPr>
      <ns0:r>
        <ns0:rPr>
          <ns0:rFonts ns0:ascii="Calibri" ns0:hAnsi="Calibri"/>
          <ns0:sz ns0:val="20"/>
        </ns0:rPr>
        <ns0:t>Confirm the 48 synthetic privileged-role records are included in the review population.</ns0:t>
      </ns0:r>
    </ns0:p>
    <ns0:p>
      <ns0:pPr>
        <ns0:pStyle ns0:val="ListBullet"/>
        <ns0:spacing ns0:after="60" ns0:line="264" ns0:lineRule="auto"/>
      </ns0:pPr>
      <ns0:r>
        <ns0:rPr>
          <ns0:rFonts ns0:ascii="Calibri" ns0:hAnsi="Calibri"/>
          <ns0:sz ns0:val="20"/>
        </ns0:rPr>
        <ns0:t>Record the delayed attestation as EXC-260713-006 and retain the compensating-review rationale.</ns0:t>
      </ns0:r>
    </ns0:p>
    <ns0:p>
      <ns0:pPr>
        <ns0:pStyle ns0:val="ListBullet"/>
        <ns0:spacing ns0:after="60" ns0:line="264" ns0:lineRule="auto"/>
      </ns0:pPr>
      <ns0:r>
        <ns0:rPr>
          <ns0:rFonts ns0:ascii="Calibri" ns0:hAnsi="Calibri"/>
          <ns0:sz ns0:val="20"/>
        </ns0:rPr>
        <ns0:t>Confirm 24 of 24 synthetic evidence-set 184 items, including checksum reconciliation EV-184-19.</ns0:t>
      </ns0:r>
    </ns0:p>
    <ns0:p>
      <ns0:pPr>
        <ns0:pStyle ns0:val="ListBullet"/>
        <ns0:spacing ns0:after="60" ns0:line="264" ns0:lineRule="auto"/>
      </ns0:pPr>
      <ns0:r>
        <ns0:rPr>
          <ns0:rFonts ns0:ascii="Calibri" ns0:hAnsi="Calibri"/>
          <ns0:sz ns0:val="20"/>
        </ns0:rPr>
        <ns0:t>Record a reviewer and preparer role separation for exception disposition.</ns0:t>
      </ns0:r>
    </ns0:p>
    <ns0:p>
      <ns0:pPr>
        <ns0:spacing ns0:before="240" ns0:after="100"/>
      </ns0:pPr>
      <ns0:r>
        <ns0:rPr>
          <ns0:rFonts ns0:ascii="Calibri" ns0:hAnsi="Calibri"/>
          <ns0:b/>
          <ns0:color ns0:val="2E74B5"/>
          <ns0:sz ns0:val="26"/>
        </ns0:rPr>
        <ns0:t>Dependency alignment</ns0:t>
      </ns0:r>
    </ns0:p>
    <ns0:p>
      <ns0:pPr>
        <ns0:spacing ns0:after="120" ns0:line="264" ns0:lineRule="auto"/>
      </ns0:pPr>
      <ns0:r>
        <ns0:rPr>
          <ns0:rFonts ns0:ascii="Calibri" ns0:hAnsi="Calibri"/>
          <ns0:sz ns0:val="20"/>
        </ns0:rPr>
        <ns0:t>Direct foundation dependency: p03-full-003436 (2026-07-13-reference-control-taxonomy-evidence-metrics-csv-s003436.csv). This path-specific assessment is dated 2026-07-20; its source review date remains 2026-07-13.</ns0:t>
      </ns0:r>
    </ns0:p>
    <ns0:p>
      <ns0:pPr>
        <ns0:spacing ns0:after="120" ns0:line="264" ns0:lineRule="auto"/>
      </ns0:pPr>
      <ns0:r>
        <ns0:rPr>
          <ns0:rFonts ns0:ascii="Calibri" ns0:hAnsi="Calibri"/>
          <ns0:sz ns0:val="20"/>
        </ns0:rPr>
        <ns0:t>Source reference: 2026-07-13-reference-control-taxonomy-evidence-metrics-csv-s003436. Reference checkpoint: AC27-RF-ebd. Ledger traceability: org.cobalt-harbor: Cobalt Harbor Systems is a fictional managed logistics and harbor-operations platform organization.</ns0:t>
      </ns0:r>
    </ns0:p>
    <ns0:p>
      <ns0:pPr>
        <ns0:spacing ns0:after="120" ns0:line="264" ns0:lineRule="auto"/>
      </ns0:pPr>
      <ns0:r>
        <ns0:rPr>
          <ns0:rFonts ns0:ascii="Calibri" ns0:hAnsi="Calibri"/>
          <ns0:sz ns0:val="20"/>
        </ns0:rPr>
        <ns0:t>Organization: Cobalt Harbor Systems. Source review date: 2026-07-13. Material controls/results: AC-27, evidence set 184, CASE-260713-184, RISK-031; reviewed 48, timely 47, final completion 48, residual risk Medium.</ns0:t>
      </ns0:r>
    </ns0:p>
    <ns0:p>
      <ns0:pPr>
        <ns0:spacing ns0:before="240" ns0:after="100"/>
      </ns0:pPr>
      <ns0:r>
        <ns0:rPr>
          <ns0:rFonts ns0:ascii="Calibri" ns0:hAnsi="Calibri"/>
          <ns0:b/>
          <ns0:color ns0:val="2E74B5"/>
          <ns0:sz ns0:val="26"/>
        </ns0:rPr>
        <ns0:t>Decision record</ns0:t>
      </ns0:r>
    </ns0:p>
    <ns0:p>
      <ns0:pPr>
        <ns0:spacing ns0:after="120" ns0:line="264" ns0:lineRule="auto"/>
      </ns0:pPr>
      <ns0:r>
        <ns0:rPr>
          <ns0:rFonts ns0:ascii="Calibri" ns0:hAnsi="Calibri"/>
          <ns0:sz ns0:val="20"/>
        </ns0:rPr>
        <ns0:t>Disposition: record the 47 of 48 timely-attestation result as an exception, retain the delayed record, and confirm that compensating review brings final completion to 48 of 48. The resulting residual rating remains Medium. Retain the bounded synthetic package for 18 months.</ns0:t>
      </ns0:r>
    </ns0:p>
    <ns0:p>
      <ns0:pPr>
        <ns0:spacing ns0:before="240" ns0:after="100"/>
      </ns0:pPr>
      <ns0:r>
        <ns0:rPr>
          <ns0:rFonts ns0:ascii="Calibri" ns0:hAnsi="Calibri"/>
          <ns0:b/>
          <ns0:color ns0:val="2E74B5"/>
          <ns0:sz ns0:val="26"/>
        </ns0:rPr>
        <ns0:t>Acceptance checks</ns0:t>
      </ns0:r>
    </ns0:p>
    <ns0:p>
      <ns0:pPr>
        <ns0:spacing ns0:after="120" ns0:line="264" ns0:lineRule="auto"/>
      </ns0:pPr>
      <ns0:r>
        <ns0:rPr>
          <ns0:rFonts ns0:ascii="Calibri" ns0:hAnsi="Calibri"/>
          <ns0:sz ns0:val="20"/>
        </ns0:rPr>
        <ns0:t>Use this document with the linked evidence register to confirm evidence IDs, dates, exception linkage, and bounded disposition. It is a reference artifact only and makes no claim about Kio operations.</ns0:t>
      </ns0:r>
    </ns0:p>
    <ns0:sectPr ns0:rsidR="00FC693F" ns0:rsidRPr="0006063C" ns0:rsidSect="00034616">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AC-27 reference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Cobalt Harbor Systems | Aegis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