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>
  <ns0:body>
    <ns0:bookmarkStart ns0:id="15" ns0:name="X8ea7b9009818f39366737a9992fd3675c9c0b92"/>
    <ns0:p>
      <ns0:pPr>
        <ns0:pStyle ns0:val="Heading1"/>
      </ns0:pPr>
      <ns0:r>
        <ns0:t xml:space="preserve">2026 q3 reference control taxonomy review document docx s003392</ns0:t>
      </ns0:r>
    </ns0:p>
    <ns0:bookmarkStart ns0:id="9" ns0:name="purpose-and-boundary"/>
    <ns0:p>
      <ns0:pPr>
        <ns0:pStyle ns0:val="Heading2"/>
      </ns0:pPr>
      <ns0:r>
        <ns0:t xml:space="preserve">Purpose and boundary</ns0:t>
      </ns0:r>
    </ns0:p>
    <ns0:p>
      <ns0:pPr>
        <ns0:pStyle ns0:val="FirstParagraph"/>
      </ns0:pPr>
      <ns0:r>
        <ns0:t xml:space="preserve">This docx is a bounded synthetic defensive AC-27 review record for Cobalt Harbor Systems. Direct dependency p03-full-003778 at documents/reference/foundation/data/2026-q3-reference-review-guide-evidence-metrics-csv-s003778.csv; source record period 2026-07-13. It makes no claim about live systems, credentials, telemetry, or Kio.</ns0:t>
      </ns0:r>
    </ns0:p>
    <ns0:bookmarkEnd ns0:id="9"/>
    <ns0:bookmarkStart ns0:id="10" ns0:name="evidence-selected"/>
    <ns0:p>
      <ns0:pPr>
        <ns0:pStyle ns0:val="Heading2"/>
      </ns0:pPr>
      <ns0:r>
        <ns0:t xml:space="preserve">Evidence selected</ns0:t>
      </ns0:r>
    </ns0:p>
    <ns0:p>
      <ns0:pPr>
        <ns0:pStyle ns0:val="FirstParagraph"/>
      </ns0:pPr>
      <ns0:r>
        <ns0:t xml:space="preserve">source reference: 2026-q3-reference-review-guide-evidence-metrics-csv-s003778; reference checkpoint: AC27-RF-eoh; organization: Cobalt Harbor Systems; review date: 2026-07-13; control: AC-27; evidence set: 184; case id: CASE-260713-184; risk id: RISK-031; reviewed: 48; timely: 47; final completion: 48; residual risk: Medium</ns0:t>
      </ns0:r>
    </ns0:p>
    <ns0:bookmarkEnd ns0:id="10"/>
    <ns0:bookmarkStart ns0:id="11" ns0:name="fact-consistency"/>
    <ns0:p>
      <ns0:pPr>
        <ns0:pStyle ns0:val="Heading2"/>
      </ns0:pPr>
      <ns0:r>
        <ns0:t xml:space="preserve">Fact Consistency</ns0:t>
      </ns0:r>
    </ns0:p>
    <ns0:p>
      <ns0:pPr>
        <ns0:pStyle ns0:val="FirstParagraph"/>
      </ns0:pPr>
      <ns0:r>
        <ns0:t xml:space="preserve">Causal question: Cross-check the control, evidence set, counts, case, and residual risk against the cited source, then test one conflicting field.</ns0:t>
      </ns0:r>
    </ns0:p>
    <ns0:p>
      <ns0:pPr>
        <ns0:pStyle ns0:val="BodyText"/>
      </ns0:pPr>
      <ns0:r>
        <ns0:t xml:space="preserve">Ordered test: first examine the cited source and its stated review period; second compare the relevant evidence with the AC-27 disposition; third attempt the counterexample described above; fourth record whether the conclusion still follows.</ns0:t>
      </ns0:r>
    </ns0:p>
    <ns0:bookmarkEnd ns0:id="11"/>
    <ns0:bookmarkStart ns0:id="12" ns0:name="assurance-calibration"/>
    <ns0:p>
      <ns0:pPr>
        <ns0:pStyle ns0:val="Heading2"/>
      </ns0:pPr>
      <ns0:r>
        <ns0:t xml:space="preserve">Assurance Calibration</ns0:t>
      </ns0:r>
    </ns0:p>
    <ns0:p>
      <ns0:pPr>
        <ns0:pStyle ns0:val="FirstParagraph"/>
      </ns0:pPr>
      <ns0:r>
        <ns0:t xml:space="preserve">Calibrate assurance by separating corroboration, contradiction, uncertainty, materiality, and confidence. The analyst must explain why the evidence supports a bounded conclusion, identify the remaining uncertainty, and avoid converting confidence into certainty.</ns0:t>
      </ns0:r>
    </ns0:p>
    <ns0:p>
      <ns0:pPr>
        <ns0:pStyle ns0:val="BodyText"/>
      </ns0:pPr>
      <ns0:r>
        <ns0:t xml:space="preserve">Observation and interpretation: A single conflicting field makes the summary unreliable until reconciled. The 48 reviewed / 47 timely / 48 final-completion measures remain distinct; CASE-260713-184 and RISK-031 remain synthetic governance references, with Medium residual risk unless the cited source says otherwise.</ns0:t>
      </ns0:r>
    </ns0:p>
    <ns0:bookmarkEnd ns0:id="12"/>
    <ns0:bookmarkStart ns0:id="13" ns0:name="finding-and-decision-rule"/>
    <ns0:p>
      <ns0:pPr>
        <ns0:pStyle ns0:val="Heading2"/>
      </ns0:pPr>
      <ns0:r>
        <ns0:t xml:space="preserve">Finding and decision rule</ns0:t>
      </ns0:r>
    </ns0:p>
    <ns0:p>
      <ns0:pPr>
        <ns0:pStyle ns0:val="FirstParagraph"/>
      </ns0:pPr>
      <ns0:r>
        <ns0:t xml:space="preserve">Finding: the evidence is accepted only when the selected records support the causal question and the counterexample is resolved or explicitly retained. Decision rule: hold the summary, ask the analyst to reconcile the field, and obtain reviewer approval of the correction.</ns0:t>
      </ns0:r>
    </ns0:p>
    <ns0:bookmarkEnd ns0:id="13"/>
    <ns0:bookmarkStart ns0:id="14" ns0:name="record-disposition"/>
    <ns0:p>
      <ns0:pPr>
        <ns0:pStyle ns0:val="Heading2"/>
      </ns0:pPr>
      <ns0:r>
        <ns0:t xml:space="preserve">Record disposition</ns0:t>
      </ns0:r>
    </ns0:p>
    <ns0:p>
      <ns0:pPr>
        <ns0:pStyle ns0:val="FirstParagraph"/>
      </ns0:pPr>
      <ns0:r>
        <ns0:t xml:space="preserve">Retain this named review record with its own path-specific method and evidence selection. Do not substitute a similar title, raw source row, delimiter-separated locator, or generic statement for the cited evidence.</ns0:t>
      </ns0:r>
    </ns0:p>
    <ns0:bookmarkEnd ns0:id="14"/>
    <ns0:bookmarkEnd ns0:id="15"/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the 2026 Q3 review period, finalized 2026-07-20.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p03-full-003392 is recorded against source p03-src-003392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p03-full-003778 (source p03-src-003778);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>
      <ns0:footnotePr>
        <ns0:numRestart ns0:val="eachSect"/>
      </ns0:footnotePr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16"/>
        <w:szCs w:val="16"/>
        <w:lang w:bidi="ar-SA" w:eastAsia="zh-CN" w:val="en-US"/>
      </w:rPr>
    </w:rPrDefault>
    <w:pPrDefault>
      <w:pPr>
        <w:spacing w:after="36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36" w:before="36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" w:line="180" w:lineRule="auto"/>
      <w:contextualSpacing/>
      <w:jc w:val="center"/>
    </w:pPr>
    <w:rPr>
      <w:rFonts w:asciiTheme="majorHAnsi" w:cstheme="majorBidi" w:eastAsiaTheme="majorEastAsia" w:hAnsiTheme="majorHAnsi"/>
      <w:sz w:val="18"/>
      <w:szCs w:val="1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18"/>
      <w:szCs w:val="1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18"/>
      <w:szCs w:val="1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18"/>
      <w:szCs w:val="1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16"/>
      <w:szCs w:val="16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16"/>
      <w:szCs w:val="1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6"/>
      <w:jc w:val="center"/>
    </w:pPr>
    <w:rPr>
      <w:b/>
      <w:sz w:val="16"/>
      <w:szCs w:val="16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6" w:before="36"/>
    </w:pPr>
    <w:rPr>
      <w:sz w:val="16"/>
      <w:szCs w:val="16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36" w:before="36"/>
      <w:outlineLvl w:val="0"/>
    </w:pPr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36" w:before="36"/>
      <w:outlineLvl w:val="1"/>
    </w:pPr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36" w:before="36"/>
      <w:outlineLvl w:val="2"/>
    </w:pPr>
    <w:rPr>
      <w:rFonts w:cstheme="majorBidi" w:eastAsiaTheme="majorEastAsia"/>
      <w:color w:themeColor="accent1" w:themeShade="BF" w:val="0F4761"/>
      <w:sz w:val="18"/>
      <w:szCs w:val="1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36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36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18"/>
      <w:szCs w:val="1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36" w:before="36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36" w:before="36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36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36" w:line="180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creator>Cobalt Harbor</dc:creator>
  <ns0:keywords>Cobalt Harbor; RISK-031; AC-27; Evidence 184; no Kio capability</ns0:keywords>
  <ns2:created xsi:type="dcterms:W3CDTF">2026-08-24T14:31:36Z</ns2:created>
  <ns2:modified xsi:type="dcterms:W3CDTF">2026-08-24T14:31:36Z</ns2:modified>
  <dc:subject>QA-v2 RISK-031 assurance evidence and traceability</dc:subject>
  <dc:description>QA-v2 traceability remediation for p03-full-003392</dc:description>
</ns0:coreProperties>
</file>

<file path=docProps/custom.xml><?xml version="1.0" encoding="utf-8"?>
<Properties xmlns="http://schemas.openxmlformats.org/officeDocument/2006/custom-properties" xmlns:vt="http://schemas.openxmlformats.org/officeDocument/2006/docPropsVTypes"/>
</file>