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rPr>
          <ns0:color ns0:val="2E74B5"/>
        </ns0:rPr>
        <ns0:t>EXPORT EVIDENCE REVIEW</ns0:t>
      </ns0:r>
    </ns0:p>
    <ns0:p>
      <ns0:r>
        <ns0:t>Cobalt Harbor Systems | Aegis Control AC-27 | p03-full-003154</ns0:t>
      </ns0:r>
    </ns0:p>
    <ns0:p>
      <ns0:r>
        <ns0:t>Assigned review date or period: 2026-07-13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>
            <ns0:r>
              <ns0:t>Case</ns0:t>
            </ns0:r>
          </ns0:p>
        </ns0:tc>
        <ns0:tc>
          <ns0:tcPr>
            <ns0:tcW ns0:type="dxa" ns0:w="4680"/>
          </ns0:tcPr>
          <ns0:p>
            <ns0:r>
              <ns0:t>CASE-260713-184</ns0:t>
            </ns0:r>
          </ns0:p>
        </ns0:tc>
      </ns0:tr>
      <ns0:tr>
        <ns0:tc>
          <ns0:tcPr>
            <ns0:tcW ns0:type="dxa" ns0:w="4680"/>
          </ns0:tcPr>
          <ns0:p>
            <ns0:r>
              <ns0:t>Evidence</ns0:t>
            </ns0:r>
          </ns0:p>
        </ns0:tc>
        <ns0:tc>
          <ns0:tcPr>
            <ns0:tcW ns0:type="dxa" ns0:w="4680"/>
          </ns0:tcPr>
          <ns0:p>
            <ns0:r>
              <ns0:t>Set 184</ns0:t>
            </ns0:r>
          </ns0:p>
        </ns0:tc>
      </ns0:tr>
      <ns0:tr>
        <ns0:tc>
          <ns0:tcPr>
            <ns0:tcW ns0:type="dxa" ns0:w="4680"/>
          </ns0:tcPr>
          <ns0:p>
            <ns0:r>
              <ns0:t>Risk</ns0:t>
            </ns0:r>
          </ns0:p>
        </ns0:tc>
        <ns0:tc>
          <ns0:tcPr>
            <ns0:tcW ns0:type="dxa" ns0:w="4680"/>
          </ns0:tcPr>
          <ns0:p>
            <ns0:r>
              <ns0:t>RISK-031: residual Medium</ns0:t>
            </ns0:r>
          </ns0:p>
        </ns0:tc>
      </ns0:tr>
      <ns0:tr>
        <ns0:tc>
          <ns0:tcPr>
            <ns0:tcW ns0:type="dxa" ns0:w="4680"/>
          </ns0:tcPr>
          <ns0:p>
            <ns0:r>
              <ns0:t>Scope</ns0:t>
            </ns0:r>
          </ns0:p>
        </ns0:tc>
        <ns0:tc>
          <ns0:tcPr>
            <ns0:tcW ns0:type="dxa" ns0:w="4680"/>
          </ns0:tcPr>
          <ns0:p>
            <ns0:r>
              <ns0:t>Minimized Sentinel Export</ns0:t>
            </ns0:r>
          </ns0:p>
        </ns0:tc>
      </ns0:tr>
    </ns0:tbl>
    <ns0:p>
      <ns0:pPr>
        <ns0:pStyle ns0:val="Heading1"/>
      </ns0:pPr>
      <ns0:r>
        <ns0:t>Purpose</ns0:t>
      </ns0:r>
    </ns0:p>
    <ns0:p>
      <ns0:r>
        <ns0:t>Review question — For this owner acknowledgement record, GRC asks whether privacy confirmation is limited to restricted-data exclusion. The record opens a bounded intake question and separates incoming evidence from an operating-effectiveness conclusion. The reviewer records what must be present before a decision can be made.</ns0:t>
        <ns0:br/>
        <ns0:t/>
      </ns0:r>
    </ns0:p>
    <ns0:p>
      <ns0:pPr>
        <ns0:pStyle ns0:val="Heading1"/>
      </ns0:pPr>
      <ns0:r>
        <ns0:t>Assessment</ns0:t>
      </ns0:r>
    </ns0:p>
    <ns0:p>
      <ns0:r>
        <ns0:t>Evidence interpretation — The direct foundation record is a 2026 Q3 category summary metric extract. Its stated focus is category-level evidence grouping and count reconciliation; the sampled category is access_review_summary with 37 synthetic events, 48 of 48 reviewed, and 100.0% completion. The reviewer reads this as the packet is synthetic and bounded to AC-27.</ns0:t>
        <ns0:br/>
        <ns0:t/>
      </ns0:r>
    </ns0:p>
    <ns0:p>
      <ns0:pPr>
        <ns0:pStyle ns0:val="Heading1"/>
      </ns0:pPr>
      <ns0:r>
        <ns0:t>Control handling</ns0:t>
      </ns0:r>
    </ns0:p>
    <ns0:p>
      <ns0:r>
        <ns0:t>Decision and action — This is accepted only for the privacy scope boundary question. GRC will record the bounded review outcome; it will also record the reviewer decision alongside the request and approval evidence.</ns0:t>
        <ns0:br/>
        <ns0:t/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2026-07-13.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p03-full-003154 is recorded against source p03-src-003154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p03-full-003324 (source p03-src-003324);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footerReference ns0:type="default" ns2:id="rId9"/>
      <ns0:pgSz ns0:w="12240" ns0:h="15840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control-evidence record | no Kio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p03-full-003154</dc:description>
  <ns0:lastModifiedBy/>
  <ns0:revision>1</ns0:revision>
  <ns2:created xsi:type="dcterms:W3CDTF">2013-12-23T23:15:00Z</ns2:created>
  <ns2:modified xsi:type="dcterms:W3CDTF">2013-12-23T23:15:00Z</ns2:modified>
  <ns0:category/>
</ns0:coreProperties>
</file>