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rPr>
          <ns0:color ns0:val="2E74B5"/>
        </ns0:rPr>
        <ns0:t>EXPORT EVIDENCE REVIEW</ns0:t>
      </ns0:r>
    </ns0:p>
    <ns0:p>
      <ns0:r>
        <ns0:t>Cobalt Harbor Systems | Aegis Control AC-27 | p03-full-003211</ns0:t>
      </ns0:r>
    </ns0:p>
    <ns0:p>
      <ns0:r>
        <ns0:t>Assigned review date or period: 2026-07-20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>
            <ns0:r>
              <ns0:t>Case</ns0:t>
            </ns0:r>
          </ns0:p>
        </ns0:tc>
        <ns0:tc>
          <ns0:tcPr>
            <ns0:tcW ns0:type="dxa" ns0:w="4680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</ns0:tcPr>
          <ns0:p>
            <ns0:r>
              <ns0:t>Evidence</ns0:t>
            </ns0:r>
          </ns0:p>
        </ns0:tc>
        <ns0:tc>
          <ns0:tcPr>
            <ns0:tcW ns0:type="dxa" ns0:w="4680"/>
          </ns0:tcPr>
          <ns0:p>
            <ns0:r>
              <ns0:t>Set 184</ns0:t>
            </ns0:r>
          </ns0:p>
        </ns0:tc>
      </ns0:tr>
      <ns0:tr>
        <ns0:tc>
          <ns0:tcPr>
            <ns0:tcW ns0:type="dxa" ns0:w="4680"/>
          </ns0:tcPr>
          <ns0:p>
            <ns0:r>
              <ns0:t>Risk</ns0:t>
            </ns0:r>
          </ns0:p>
        </ns0:tc>
        <ns0:tc>
          <ns0:tcPr>
            <ns0:tcW ns0:type="dxa" ns0:w="4680"/>
          </ns0:tcPr>
          <ns0:p>
            <ns0:r>
              <ns0:t>RISK-031: residual Medium</ns0:t>
            </ns0:r>
          </ns0:p>
        </ns0:tc>
      </ns0:tr>
      <ns0:tr>
        <ns0:tc>
          <ns0:tcPr>
            <ns0:tcW ns0:type="dxa" ns0:w="4680"/>
          </ns0:tcPr>
          <ns0:p>
            <ns0:r>
              <ns0:t>Scope</ns0:t>
            </ns0:r>
          </ns0:p>
        </ns0:tc>
        <ns0:tc>
          <ns0:tcPr>
            <ns0:tcW ns0:type="dxa" ns0:w="4680"/>
          </ns0:tcPr>
          <ns0:p>
            <ns0:r>
              <ns0:t>Minimized Sentinel Export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Review question — For this closure review record, GRC asks whether supplier attestation mapping is tracked as an open action. The record opens a bounded intake question and separates incoming evidence from an operating-effectiveness conclusion. The reviewer records what must be present before a decision can be made.</ns0:t>
        <ns0:br/>
        <ns0:t/>
      </ns0:r>
    </ns0:p>
    <ns0:p>
      <ns0:pPr>
        <ns0:pStyle ns0:val="Heading1"/>
      </ns0:pPr>
      <ns0:r>
        <ns0:t>Assessment</ns0:t>
      </ns0:r>
    </ns0:p>
    <ns0:p>
      <ns0:r>
        <ns0:t>Evidence interpretation — The direct foundation record is a 2026-07-20 evidence export metric extract. Its stated focus is minimized evidence-chain intake and checksum confirmation; the sampled category is access_review_summary with 55 synthetic events, 48 of 48 reviewed, and 100.0% completion. The reviewer reads this as residual Medium after the compensating review.</ns0:t>
        <ns0:br/>
        <ns0:t/>
      </ns0:r>
    </ns0:p>
    <ns0:p>
      <ns0:pPr>
        <ns0:pStyle ns0:val="Heading1"/>
      </ns0:pPr>
      <ns0:r>
        <ns0:t>Control handling</ns0:t>
      </ns0:r>
    </ns0:p>
    <ns0:p>
      <ns0:r>
        <ns0:t>Decision and action — This is accepted only for the vendor mapping follow-up question. GRC will keep ACT-260713-013 as due rather than completed; it will also retain the exception linkage and schedule the 2026-07-20 closure check.</ns0:t>
        <ns0:br/>
        <ns0:t/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p03-full-003211 is recorded against source p03-src-003211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p03-full-001566 (source p03-src-001566);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footerReference ns0:type="default" ns2:id="rId9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control-evidence record | no Kio claim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p03-full-003211</dc:description>
  <ns0:lastModifiedBy/>
  <ns0:revision>1</ns0:revision>
  <ns2:created xsi:type="dcterms:W3CDTF">2013-12-23T23:15:00Z</ns2:created>
  <ns2:modified xsi:type="dcterms:W3CDTF">2013-12-23T23:15:00Z</ns2:modified>
  <ns0:category/>
</ns0:coreProperties>
</file>