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rPr>
          <ns0:color ns0:val="2E74B5"/>
        </ns0:rPr>
        <ns0:t>EXPORT EVIDENCE REVIEW</ns0:t>
      </ns0:r>
    </ns0:p>
    <ns0:p>
      <ns0:r>
        <ns0:t>Cobalt Harbor Systems | Aegis Control AC-27 | p03-full-000594</ns0:t>
      </ns0:r>
    </ns0:p>
    <ns0:p>
      <ns0:r>
        <ns0:t>Assigned review period: 2026 Q3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>
            <ns0:r>
              <ns0:t>Case</ns0:t>
            </ns0:r>
          </ns0:p>
        </ns0:tc>
        <ns0:tc>
          <ns0:tcPr>
            <ns0:tcW ns0:type="dxa" ns0:w="4680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</ns0:tcPr>
          <ns0:p>
            <ns0:r>
              <ns0:t>Evidence</ns0:t>
            </ns0:r>
          </ns0:p>
        </ns0:tc>
        <ns0:tc>
          <ns0:tcPr>
            <ns0:tcW ns0:type="dxa" ns0:w="4680"/>
          </ns0:tcPr>
          <ns0:p>
            <ns0:r>
              <ns0:t>Set 184</ns0:t>
            </ns0:r>
          </ns0:p>
        </ns0:tc>
      </ns0:tr>
      <ns0:tr>
        <ns0:tc>
          <ns0:tcPr>
            <ns0:tcW ns0:type="dxa" ns0:w="4680"/>
          </ns0:tcPr>
          <ns0:p>
            <ns0:r>
              <ns0:t>Risk</ns0:t>
            </ns0:r>
          </ns0:p>
        </ns0:tc>
        <ns0:tc>
          <ns0:tcPr>
            <ns0:tcW ns0:type="dxa" ns0:w="4680"/>
          </ns0:tcPr>
          <ns0:p>
            <ns0:r>
              <ns0:t>RISK-031: residual Medium</ns0:t>
            </ns0:r>
          </ns0:p>
        </ns0:tc>
      </ns0:tr>
      <ns0:tr>
        <ns0:tc>
          <ns0:tcPr>
            <ns0:tcW ns0:type="dxa" ns0:w="4680"/>
          </ns0:tcPr>
          <ns0:p>
            <ns0:r>
              <ns0:t>Scope</ns0:t>
            </ns0:r>
          </ns0:p>
        </ns0:tc>
        <ns0:tc>
          <ns0:tcPr>
            <ns0:tcW ns0:type="dxa" ns0:w="4680"/>
          </ns0:tcPr>
          <ns0:p>
            <ns0:r>
              <ns0:t>Minimized Sentinel Export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Review question — For this owner acknowledgement record, GRC asks whether EXC-260713-006 carries its one-day closure evidence. The record opens a bounded intake question and separates incoming evidence from an operating-effectiveness conclusion. The reviewer records what must be present before a decision can be made.</ns0:t>
        <ns0:br/>
        <ns0:t/>
      </ns0:r>
    </ns0:p>
    <ns0:p>
      <ns0:pPr>
        <ns0:pStyle ns0:val="Heading1"/>
      </ns0:pPr>
      <ns0:r>
        <ns0:t>Assessment</ns0:t>
      </ns0:r>
    </ns0:p>
    <ns0:p>
      <ns0:r>
        <ns0:t>Evidence interpretation — The direct foundation record is a 2026 Q3 category summary metric extract. Its stated focus is category-level evidence grouping and count reconciliation; the sampled category is access_review_summary with 29 synthetic events, 48 of 48 reviewed, and 100.0% completion. The reviewer reads this as the packet is synthetic and bounded to AC-27.</ns0:t>
        <ns0:br/>
        <ns0:t/>
      </ns0:r>
    </ns0:p>
    <ns0:p>
      <ns0:pPr>
        <ns0:pStyle ns0:val="Heading1"/>
      </ns0:pPr>
      <ns0:r>
        <ns0:t>Control handling</ns0:t>
      </ns0:r>
    </ns0:p>
    <ns0:p>
      <ns0:r>
        <ns0:t>Decision and action — This is accepted only for the exception closure question. GRC will link the closure statement to the follow-up review; it will also record the reviewer decision alongside the request and approval evidence.</ns0:t>
        <ns0:br/>
        <ns0:t/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p03-full-000594 is recorded against source p03-src-000594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p03-full-001396 (source p03-src-001396);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footerReference ns0:type="default" ns2:id="rId9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control-evidence record | no Kio claim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p03-full-000594</dc:description>
  <ns0:lastModifiedBy/>
  <ns0:revision>1</ns0:revision>
  <ns2:created xsi:type="dcterms:W3CDTF">2013-12-23T23:15:00Z</ns2:created>
  <ns2:modified xsi:type="dcterms:W3CDTF">2013-12-23T23:15:00Z</ns2:modified>
  <ns0:category/>
</ns0:coreProperties>
</file>