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  <ns0:jc ns0:val="left"/>
      </ns0:pPr>
      <ns0:r>
        <ns0:t>2026 07 14 Intake Disposition Note Review Document Docx S002671</ns0:t>
      </ns0:r>
    </ns0:p>
    <ns0:p>
      <ns0:r>
        <ns0:rPr>
          <ns0:color ns0:val="506978"/>
        </ns0:rPr>
        <ns0:t>Aegis Control AC-27 | Controlled synthetic intake evidence</ns0:t>
      </ns0:r>
    </ns0:p>
    <ns0:tbl>
      <ns0:tblPr>
        <ns0:tblStyle ns0:val="LightShading-Accent1"/>
        <ns0:tblW ns0:type="auto" ns0:w="0"/>
        <ns0:jc ns0:val="center"/>
        <ns0:tblLook ns0:firstColumn="1" ns0:firstRow="1" ns0:lastColumn="0" ns0:lastRow="0" ns0:noHBand="0" ns0:noVBand="1" ns0:val="04A0"/>
      </ns0:tblPr>
      <ns0:tblGrid>
        <ns0:gridCol ns0:w="3456"/>
        <ns0:gridCol ns0:w="3456"/>
        <ns0:gridCol ns0:w="3456"/>
      </ns0:tblGrid>
      <ns0:tr>
        <ns0:tc>
          <ns0:tcPr>
            <ns0:tcW ns0:type="dxa" ns0:w="3456"/>
            <ns0:vAlign ns0:val="center"/>
          </ns0:tcPr>
          <ns0:p>
            <ns0:r>
              <ns0:t>Artifact</ns0:t>
              <ns0:br/>
              <ns0:t>p03-full-002671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Record</ns0:t>
              <ns0:br/>
              <ns0:t>INB-010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Case</ns0:t>
              <ns0:br/>
              <ns0:t>CASE-260713-184</ns0:t>
            </ns0:r>
          </ns0:p>
        </ns0:tc>
      </ns0:tr>
      <ns0:tr>
        <ns0:tc>
          <ns0:tcPr>
            <ns0:tcW ns0:type="dxa" ns0:w="3456"/>
            <ns0:vAlign ns0:val="center"/>
          </ns0:tcPr>
          <ns0:p>
            <ns0:r>
              <ns0:t>Risk</ns0:t>
              <ns0:br/>
              <ns0:t>RISK-031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Marker</ns0:t>
              <ns0:br/>
              <ns0:t>foundation-b001-010</ns0:t>
            </ns0:r>
          </ns0:p>
        </ns0:tc>
        <ns0:tc>
          <ns0:tcPr>
            <ns0:tcW ns0:type="dxa" ns0:w="3456"/>
            <ns0:vAlign ns0:val="center"/>
          </ns0:tcPr>
          <ns0:p>
            <ns0:r>
              <ns0:t>Decision — Bounded retention</ns0:t>
              <ns0:br/>
              <ns0:t/>
            </ns0:r>
          </ns0:p>
        </ns0:tc>
      </ns0:tr>
    </ns0:tbl>
    <ns0:p>
      <ns0:pPr>
        <ns0:pStyle ns0:val="Heading1"/>
      </ns0:pPr>
      <ns0:r>
        <ns0:t>Source and question</ns0:t>
      </ns0:r>
    </ns0:p>
    <ns0:p>
      <ns0:r>
        <ns0:t>Own assigned date or period: 2026-07-14. Direct dependency p03-full-000836 source review date: 2026-07-13; source review period: 2026 Q3. It supplies INB-010: case CASE-260713-184, evidence set 184, risk RISK-031, marker foundation-b001-010, and disposition "synthetic intake normalized; bounded review retained". This disposition note asks whether to assess whether the recorded disposition is specific enough for controlled retention.</ns0:t>
      </ns0:r>
    </ns0:p>
    <ns0:p>
      <ns0:pPr>
        <ns0:pStyle ns0:val="Heading1"/>
      </ns0:pPr>
      <ns0:r>
        <ns0:t>Evidence reasoning</ns0:t>
      </ns0:r>
    </ns0:p>
    <ns0:p>
      <ns0:r>
        <ns0:t>The source record linked AR-260713-027 to AC-27. Apply the minimization lens: confirm the retained package is limited to review metadata and does not introduce credentials or customer content. The ordered route is risk context; then disposition wording; then marker continuity; then case continuity; it preserves source context without treating RISK-031 as closed or remediated.</ns0:t>
      </ns0:r>
    </ns0:p>
    <ns0:p>
      <ns0:pPr>
        <ns0:pStyle ns0:val="Heading1"/>
      </ns0:pPr>
      <ns0:r>
        <ns0:t>Decision and actions</ns0:t>
      </ns0:r>
    </ns0:p>
    <ns0:p>
      <ns0:r>
        <ns0:t>Decision: record the retention disposition and route any conflict to the evidence owner. Retain p03-full-000836, preserve the source date and marker foundation-b001-010, and escalate conflicting metadata to the evidence owner. Do not add credentials, customer material, or production-access instructions.</ns0:t>
      </ns0:r>
    </ns0:p>
    <ns0:p>
      <ns0:pPr>
        <ns0:pStyle ns0:val="Heading1"/>
      </ns0:pPr>
      <ns0:r>
        <ns0:t>Bounded conclusion</ns0:t>
      </ns0:r>
    </ns0:p>
    <ns0:p>
      <ns0:r>
        <ns0:t>The disposition note is suitable for synthetic AC-27 documentation handling when its record, case, risk, disposition, and marker remain linked. This is not a Kio indexing, search, readiness, or control-effectiveness assertion.</ns0:t>
      </ns0:r>
    </ns0:p>
    <ns0:p>
      <ns0:pPr>
        <ns0:pStyle ns0:val="Caption"/>
      </ns0:pPr>
      <ns0:r>
        <ns0:t>Prepared for controlled intake review. This document is intentionally synthetic.</ns0:t>
      </ns0:r>
    </ns0:p>
    <ns0:p>
      <ns0:r>
        <ns0:br ns0:type="page"/>
      </ns0:r>
    </ns0:p>
    <ns0:p>
      <ns0:pPr>
        <ns0:pStyle ns0:val="QAV2Heading"/>
        <ns0:spacing ns0:after="160"/>
      </ns0:pPr>
      <ns0:r>
        <ns0:t>QA-v2 Evidence Boundary and Traceability</ns0:t>
      </ns0:r>
    </ns0:p>
    <ns0:p>
      <ns0:pPr>
        <ns0:spacing ns0:after="160"/>
      </ns0:pPr>
      <ns0:r>
        <ns0:t>Cobalt Harbor completed this assurance record for RISK-031 during review date 2026-07-14. It supports AC-27 / Evidence Set 184 by explaining the relationship between the reviewed material and the retained control evidence.</ns0:t>
      </ns0:r>
    </ns0:p>
    <ns0:tbl>
      <ns0:tblPr>
        <ns0:tblStyle ns0:val="TableGrid"/>
        <ns0:tblW ns0:type="dxa" ns0:w="9000"/>
        <ns0:tblLayout ns0:type="fixed"/>
        <ns0:tblLook ns0:firstColumn="1" ns0:firstRow="1" ns0:lastColumn="0" ns0:lastRow="0" ns0:noHBand="0" ns0:noVBand="1" ns0:val="04A0"/>
      </ns0:tblPr>
      <ns0:tblGrid>
        <ns0:gridCol ns0:w="2232"/>
        <ns0:gridCol ns0:w="6768"/>
      </ns0:tblGrid>
      <ns0:tr>
        <ns0:tc>
          <ns0:tcPr>
            <ns0:tcW ns0:type="dxa" ns0:w="2232"/>
            <ns0:shd ns0:fill="D9EAF7"/>
          </ns0:tcPr>
          <ns0:p>
            <ns0:r>
              <ns0:rPr>
                <ns0:b/>
                <ns0:color ns0:val="17365D"/>
              </ns0:rPr>
              <ns0:t>Traceability item</ns0:t>
            </ns0:r>
          </ns0:p>
        </ns0:tc>
        <ns0:tc>
          <ns0:tcPr>
            <ns0:tcW ns0:type="dxa" ns0:w="6768"/>
            <ns0:shd ns0:fill="D9EAF7"/>
          </ns0:tcPr>
          <ns0:p>
            <ns0:r>
              <ns0:rPr>
                <ns0:b/>
                <ns0:color ns0:val="17365D"/>
              </ns0:rPr>
              <ns0:t>Evidence statement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Artifact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p03-full-002671 is recorded against source p03-src-002671 for this review.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Dependency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The upstream evidence dependency is p03-full-000836 (source p03-src-000836); it is retained as provenance for reconciliation.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Boundary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This document is an offline assurance record. It makes no Kio capability claim, contains no credential, and directs no external connection.</ns0:t>
            </ns0:r>
          </ns0:p>
        </ns0:tc>
      </ns0:tr>
      <ns0:tr>
        <ns0:tc>
          <ns0:tcPr>
            <ns0:tcW ns0:type="dxa" ns0:w="2232"/>
          </ns0:tcPr>
          <ns0:p>
            <ns0:pPr>
              <ns0:spacing ns0:after="60"/>
            </ns0:pPr>
            <ns0:r>
              <ns0:rPr>
                <ns0:sz ns0:val="18"/>
              </ns0:rPr>
              <ns0:t>Reviewer use</ns0:t>
            </ns0:r>
          </ns0:p>
        </ns0:tc>
        <ns0:tc>
          <ns0:tcPr>
            <ns0:tcW ns0:type="dxa" ns0:w="6768"/>
          </ns0:tcPr>
          <ns0:p>
            <ns0:pPr>
              <ns0:spacing ns0:after="60"/>
            </ns0:pPr>
            <ns0:r>
              <ns0:rPr>
                <ns0:sz ns0:val="18"/>
              </ns0:rPr>
              <ns0:t>Use the control relationship and cited dependency to verify evidence lineage, not to infer operational authority.</ns0:t>
            </ns0:r>
          </ns0:p>
        </ns0:tc>
      </ns0:tr>
    </ns0:tbl>
    <ns0:p>
      <ns0:pPr>
        <ns0:spacing ns0:before="160" ns0:after="0"/>
      </ns0:pPr>
      <ns0:r>
        <ns0:rPr>
          <ns0:b/>
        </ns0:rPr>
        <ns0:t xml:space="preserve">QA-v2 note: </ns0:t>
      </ns0:r>
      <ns0:r>
        <ns0:t>The wording above was added to make the evidence relationship, scope, and non-operational boundary explicit without changing the historical record's purpose.</ns0:t>
      </ns0:r>
    </ns0:p>
    <ns0:sectPr ns0:rsidR="00FC693F" ns0:rsidRPr="0006063C" ns0:rsidSect="00034616">
      <ns0:headerReference ns0:type="default" ns2:id="rId9"/>
      <ns0:pgSz ns0:w="12240" ns0:h="15840"/>
      <ns0:pgMar ns0:top="749" ns0:right="936" ns0:bottom="749" ns0:left="936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SECURITY GRC INTAKE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color w:val="202D3A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0415C"/>
      <w:sz w:val="19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0415C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AV2Heading">
    <w:name w:val="QA V2 Heading"/>
    <w:basedOn w:val="Heading1"/>
    <w:rPr>
      <w:rFonts w:ascii="Aptos Display" w:hAnsi="Aptos Display"/>
      <w:b/>
      <w:color w:val="17365D"/>
      <w:sz w:val="3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2026 07 14 Intake Disposition Note Review Document Docx S002671</dc:title>
  <dc:subject>QA-v2 RISK-031 assurance evidence and traceability</dc:subject>
  <dc:creator>Cobalt Harbor</dc:creator>
  <ns0:keywords>Cobalt Harbor; RISK-031; AC-27; Evidence 184; no Kio capability</ns0:keywords>
  <dc:description>QA-v2 traceability remediation for p03-full-002671</dc:description>
  <ns0:lastModifiedBy/>
  <ns0:revision>1</ns0:revision>
  <ns2:created xsi:type="dcterms:W3CDTF">2013-12-23T23:15:00Z</ns2:created>
  <ns2:modified xsi:type="dcterms:W3CDTF">2013-12-23T23:15:00Z</ns2:modified>
  <ns0:category/>
</ns0:coreProperties>
</file>