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color w:val="173F5F"/>
        </w:rPr>
        <w:t>AC-27 Review Document</w:t>
      </w:r>
    </w:p>
    <w:p>
      <w:pPr>
        <w:pStyle w:val="Subtitle"/>
      </w:pPr>
      <w:r>
        <w:t>2026 Q3 Review Mail Evidence Reminder Review Document Docx | p03-full-001154 | 2026-07-13 evidence review</w:t>
      </w:r>
    </w:p>
    <w:p>
      <w:pPr>
        <w:pStyle w:val="Heading1"/>
      </w:pPr>
      <w:r>
        <w:t>Review purpose</w:t>
      </w:r>
    </w:p>
    <w:p>
      <w:r>
        <w:t>This synthetic record summarizes a defensive GRC review for Cobalt Harbor Systems. It relates to Aegis Control AC-27, evidence set 184, CASE-260713-184, and the time-bounded closure of EXC-260713-006.</w:t>
      </w:r>
    </w:p>
    <w:p>
      <w:pPr>
        <w:pStyle w:val="Heading1"/>
      </w:pPr>
      <w:r>
        <w:t>Evidence and control position</w:t>
      </w:r>
    </w:p>
    <w:p>
      <w:r>
        <w:t>The evidence set contains 24 required synthetic items, all verified. The review population contains 48 synthetic privileged-role records. Forty-seven attestations were timely; the remaining record received a documented compensating review. RISK-031 remains Medium after treatment.</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r>
              <w:t>Control</w:t>
            </w:r>
          </w:p>
        </w:tc>
        <w:tc>
          <w:tcPr>
            <w:tcW w:type="dxa" w:w="2484"/>
            <w:vAlign w:val="center"/>
          </w:tcPr>
          <w:p>
            <w:r>
              <w:t>Case</w:t>
            </w:r>
          </w:p>
        </w:tc>
        <w:tc>
          <w:tcPr>
            <w:tcW w:type="dxa" w:w="2484"/>
            <w:vAlign w:val="center"/>
          </w:tcPr>
          <w:p>
            <w:r>
              <w:t>Evidence</w:t>
            </w:r>
          </w:p>
        </w:tc>
        <w:tc>
          <w:tcPr>
            <w:tcW w:type="dxa" w:w="2484"/>
            <w:vAlign w:val="center"/>
          </w:tcPr>
          <w:p>
            <w:r>
              <w:t>Disposition</w:t>
            </w:r>
          </w:p>
        </w:tc>
      </w:tr>
      <w:tr>
        <w:tc>
          <w:tcPr>
            <w:tcW w:type="dxa" w:w="2484"/>
          </w:tcPr>
          <w:p>
            <w:r>
              <w:t>Aegis AC-27</w:t>
            </w:r>
          </w:p>
        </w:tc>
        <w:tc>
          <w:tcPr>
            <w:tcW w:type="dxa" w:w="2484"/>
          </w:tcPr>
          <w:p>
            <w:r>
              <w:t>CASE-260713-184</w:t>
            </w:r>
          </w:p>
        </w:tc>
        <w:tc>
          <w:tcPr>
            <w:tcW w:type="dxa" w:w="2484"/>
          </w:tcPr>
          <w:p>
            <w:r>
              <w:t>Set 184 / 24 of 24</w:t>
            </w:r>
          </w:p>
        </w:tc>
        <w:tc>
          <w:tcPr>
            <w:tcW w:type="dxa" w:w="2484"/>
          </w:tcPr>
          <w:p>
            <w:r>
              <w:t>Compensating review complete</w:t>
            </w:r>
          </w:p>
        </w:tc>
      </w:tr>
      <w:tr>
        <w:tc>
          <w:tcPr>
            <w:tcW w:type="dxa" w:w="2484"/>
          </w:tcPr>
          <w:p>
            <w:r>
              <w:t>RISK-031</w:t>
            </w:r>
          </w:p>
        </w:tc>
        <w:tc>
          <w:tcPr>
            <w:tcW w:type="dxa" w:w="2484"/>
          </w:tcPr>
          <w:p>
            <w:r>
              <w:t>EXC-260713-006</w:t>
            </w:r>
          </w:p>
        </w:tc>
        <w:tc>
          <w:tcPr>
            <w:tcW w:type="dxa" w:w="2484"/>
          </w:tcPr>
          <w:p>
            <w:r>
              <w:t>47 of 48 timely</w:t>
            </w:r>
          </w:p>
        </w:tc>
        <w:tc>
          <w:tcPr>
            <w:tcW w:type="dxa" w:w="2484"/>
          </w:tcPr>
          <w:p>
            <w:r>
              <w:t>Residual rating: Medium</w:t>
            </w:r>
          </w:p>
        </w:tc>
      </w:tr>
    </w:tbl>
    <w:p>
      <w:pPr>
        <w:pStyle w:val="Heading1"/>
      </w:pPr>
      <w:r>
        <w:t>Control note</w:t>
      </w:r>
    </w:p>
    <w:p>
      <w:r>
        <w:t>This document is wholly synthetic and defensive. It records no credentials, real personal information, live systems, or operational access instructions. Corpus production and QA establish no Kio performance or search claim.</w:t>
      </w:r>
    </w:p>
    <w:p>
      <w:r>
        <w:br w:type="page"/>
      </w:r>
    </w:p>
    <w:p>
      <w:pPr>
        <w:pStyle w:val="QAV2Heading"/>
        <w:spacing w:after="160"/>
      </w:pPr>
      <w:r>
        <w:t>QA-v2 Evidence Boundary and Traceability</w:t>
      </w:r>
    </w:p>
    <w:p>
      <w:pPr>
        <w:spacing w:after="160"/>
      </w:pPr>
      <w:r>
        <w:t>Cobalt Harbor completed this assurance record for RISK-031 during review date 2026-07-13. It supports AC-27 / Evidence Set 184 by explaining the relationship between the reviewed material and the retained control evidence.</w:t>
      </w:r>
    </w:p>
    <w:tbl>
      <w:tblPr>
        <w:tblStyle w:val="QAV2TraceabilityTable"/>
        <w:tblW w:type="dxa" w:w="9000"/>
        <w:tblLayout w:type="fixed"/>
        <w:tblLook w:firstColumn="1" w:firstRow="1" w:lastColumn="0" w:lastRow="0" w:noHBand="0" w:noVBand="1" w:val="04A0"/>
        <w:tblBorders>
          <w:top w:val="single" w:sz="4" w:space="0" w:color="9DB2CE"/>
          <w:left w:val="single" w:sz="4" w:space="0" w:color="9DB2CE"/>
          <w:bottom w:val="single" w:sz="4" w:space="0" w:color="9DB2CE"/>
          <w:right w:val="single" w:sz="4" w:space="0" w:color="9DB2CE"/>
          <w:insideH w:val="single" w:sz="4" w:space="0" w:color="9DB2CE"/>
          <w:insideV w:val="single" w:sz="4" w:space="0" w:color="9DB2CE"/>
        </w:tblBorders>
      </w:tblPr>
      <w:tblGrid>
        <w:gridCol w:w="2232"/>
        <w:gridCol w:w="6768"/>
      </w:tblGrid>
      <w:tr>
        <w:tc>
          <w:tcPr>
            <w:tcW w:type="dxa" w:w="2232"/>
            <w:shd w:fill="D9EAF7"/>
          </w:tcPr>
          <w:p>
            <w:r>
              <w:rPr>
                <w:b/>
                <w:color w:val="17365D"/>
              </w:rPr>
              <w:t>Traceability item</w:t>
            </w:r>
          </w:p>
        </w:tc>
        <w:tc>
          <w:tcPr>
            <w:tcW w:type="dxa" w:w="6768"/>
            <w:shd w:fill="D9EAF7"/>
          </w:tcPr>
          <w:p>
            <w:r>
              <w:rPr>
                <w:b/>
                <w:color w:val="17365D"/>
              </w:rPr>
              <w:t>Evidence statement</w:t>
            </w:r>
          </w:p>
        </w:tc>
      </w:tr>
      <w:tr>
        <w:tc>
          <w:tcPr>
            <w:tcW w:type="dxa" w:w="2232"/>
          </w:tcPr>
          <w:p>
            <w:pPr>
              <w:spacing w:after="60"/>
            </w:pPr>
            <w:r>
              <w:rPr>
                <w:sz w:val="18"/>
              </w:rPr>
              <w:t>Artifact</w:t>
            </w:r>
          </w:p>
        </w:tc>
        <w:tc>
          <w:tcPr>
            <w:tcW w:type="dxa" w:w="6768"/>
          </w:tcPr>
          <w:p>
            <w:pPr>
              <w:spacing w:after="60"/>
            </w:pPr>
            <w:r>
              <w:rPr>
                <w:sz w:val="18"/>
              </w:rPr>
              <w:t>p03-full-001154 is recorded against source p03-src-001154 for this review.</w:t>
            </w:r>
          </w:p>
        </w:tc>
      </w:tr>
      <w:tr>
        <w:tc>
          <w:tcPr>
            <w:tcW w:type="dxa" w:w="2232"/>
          </w:tcPr>
          <w:p>
            <w:pPr>
              <w:spacing w:after="60"/>
            </w:pPr>
            <w:r>
              <w:rPr>
                <w:sz w:val="18"/>
              </w:rPr>
              <w:t>Dependency</w:t>
            </w:r>
          </w:p>
        </w:tc>
        <w:tc>
          <w:tcPr>
            <w:tcW w:type="dxa" w:w="6768"/>
          </w:tcPr>
          <w:p>
            <w:pPr>
              <w:spacing w:after="60"/>
            </w:pPr>
            <w:r>
              <w:rPr>
                <w:sz w:val="18"/>
              </w:rPr>
              <w:t>The upstream evidence dependency is p03-full-001585 (source p03-src-001585); it is retained as provenance for reconciliation.</w:t>
            </w:r>
          </w:p>
        </w:tc>
      </w:tr>
      <w:tr>
        <w:tc>
          <w:tcPr>
            <w:tcW w:type="dxa" w:w="2232"/>
          </w:tcPr>
          <w:p>
            <w:pPr>
              <w:spacing w:after="60"/>
            </w:pPr>
            <w:r>
              <w:rPr>
                <w:sz w:val="18"/>
              </w:rPr>
              <w:t>Boundary</w:t>
            </w:r>
          </w:p>
        </w:tc>
        <w:tc>
          <w:tcPr>
            <w:tcW w:type="dxa" w:w="6768"/>
          </w:tcPr>
          <w:p>
            <w:pPr>
              <w:spacing w:after="60"/>
            </w:pPr>
            <w:r>
              <w:rPr>
                <w:sz w:val="18"/>
              </w:rPr>
              <w:t>This document is an offline assurance record. It makes no Kio capability claim, contains no credential, and directs no external connection.</w:t>
            </w:r>
          </w:p>
        </w:tc>
      </w:tr>
      <w:tr>
        <w:tc>
          <w:tcPr>
            <w:tcW w:type="dxa" w:w="2232"/>
          </w:tcPr>
          <w:p>
            <w:pPr>
              <w:spacing w:after="60"/>
            </w:pPr>
            <w:r>
              <w:rPr>
                <w:sz w:val="18"/>
              </w:rPr>
              <w:t>Reviewer use</w:t>
            </w:r>
          </w:p>
        </w:tc>
        <w:tc>
          <w:tcPr>
            <w:tcW w:type="dxa" w:w="6768"/>
          </w:tcPr>
          <w:p>
            <w:pPr>
              <w:spacing w:after="60"/>
            </w:pPr>
            <w:r>
              <w:rPr>
                <w:sz w:val="18"/>
              </w:rPr>
              <w:t>Use the control relationship and cited dependency to verify evidence lineage, not to infer operational authority.</w:t>
            </w:r>
          </w:p>
        </w:tc>
      </w:tr>
    </w:tbl>
    <w:p>
      <w:pPr>
        <w:spacing w:before="160" w:after="0"/>
      </w:pPr>
      <w:r>
        <w:rPr>
          <w:b/>
        </w:rPr>
        <w:t xml:space="preserve">QA-v2 note: </w:t>
      </w:r>
      <w:r>
        <w:t>The wording above was added to make the evidence relationship, scope, and non-operational boundary explicit without changing the historical record's purpose.</w:t>
      </w:r>
    </w:p>
    <w:sectPr w:rsidR="00FC693F" w:rsidRPr="0006063C" w:rsidSect="00034616">
      <w:footerReference w:type="default" r:id="rId9"/>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Cobalt Harbor Systems | p03-full-001154 | Synthetic defensive GRC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AV2Heading">
    <w:name w:val="QA V2 Heading"/>
    <w:basedOn w:val="Heading1"/>
    <w:rPr>
      <w:rFonts w:ascii="Aptos Display" w:hAnsi="Aptos Display"/>
      <w:b/>
      <w:color w:val="17365D"/>
      <w:sz w:val="32"/>
    </w:rPr>
  </w:style>
  <w:style w:type="table" w:customStyle="1" w:styleId="QAV2TraceabilityTable">
    <w:name w:val="QA V2 Traceability Table"/>
    <w:basedOn w:val="Table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QA-v2 RISK-031 assurance evidence and traceability</dc:subject>
  <dc:creator>Cobalt Harbor</dc:creator>
  <cp:keywords>Cobalt Harbor; RISK-031; AC-27; Evidence 184; no Kio capability</cp:keywords>
  <dc:description>QA-v2 traceability remediation for p03-full-001154</dc:description>
  <cp:lastModifiedBy/>
  <cp:revision>1</cp:revision>
  <dcterms:created xsi:type="dcterms:W3CDTF">2013-12-23T23:15:00Z</dcterms:created>
  <dcterms:modified xsi:type="dcterms:W3CDTF">2013-12-23T23:15:00Z</dcterms:modified>
  <cp:category/>
</cp:coreProperties>
</file>