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pStyle ns0:val="Title"/>
        <ns0:jc ns0:val="left"/>
      </ns0:pPr>
      <ns0:r>
        <ns0:t>Vendor Risk Review Document</ns0:t>
      </ns0:r>
    </ns0:p>
    <ns0:p>
      <ns0:r>
        <ns0:t>2026-07-13 Vendor Risk Follow-up Review</ns0:t>
      </ns0:r>
    </ns0:p>
    <ns0:tbl>
      <ns0:tblPr>
        <ns0:tblStyle ns0:val="TableGrid"/>
        <ns0:tblW ns0:type="auto" ns0:w="0"/>
        <ns0:jc ns0:val="left"/>
        <ns0:tblLook ns0:firstColumn="1" ns0:firstRow="1" ns0:lastColumn="0" ns0:lastRow="0" ns0:noHBand="0" ns0:noVBand="1" ns0:val="04A0"/>
      </ns0:tblPr>
      <ns0:tblGrid>
        <ns0:gridCol ns0:w="4968"/>
        <ns0:gridCol ns0:w="4968"/>
      </ns0:tblGrid>
      <ns0:tr>
        <ns0:tc>
          <ns0:tcPr>
            <ns0:tcW ns0:type="dxa" ns0:w="4968"/>
            <ns0:vAlign ns0:val="center"/>
            <ns0:shd ns0:fill="D9EAF7"/>
          </ns0:tcPr>
          <ns0:p>
            <ns0:r/>
            <ns0:r>
              <ns0:rPr>
                <ns0:b/>
                <ns0:sz ns0:val="18"/>
              </ns0:rPr>
              <ns0:t>Review reference</ns0:t>
            </ns0:r>
          </ns0:p>
        </ns0:tc>
        <ns0:tc>
          <ns0:tcPr>
            <ns0:tcW ns0:type="dxa" ns0:w="4968"/>
            <ns0:vAlign ns0:val="center"/>
          </ns0:tcPr>
          <ns0:p>
            <ns0:r/>
            <ns0:r>
              <ns0:rPr>
                <ns0:b ns0:val="0"/>
                <ns0:sz ns0:val="18"/>
              </ns0:rPr>
              <ns0:t>p03-full-000355</ns0:t>
            </ns0:r>
          </ns0:p>
        </ns0:tc>
      </ns0:tr>
      <ns0:tr>
        <ns0:tc>
          <ns0:tcPr>
            <ns0:tcW ns0:type="dxa" ns0:w="4968"/>
            <ns0:vAlign ns0:val="center"/>
            <ns0:shd ns0:fill="D9EAF7"/>
          </ns0:tcPr>
          <ns0:p>
            <ns0:r/>
            <ns0:r>
              <ns0:rPr>
                <ns0:b/>
                <ns0:sz ns0:val="18"/>
              </ns0:rPr>
              <ns0:t>Own assigned review date/period</ns0:t>
            </ns0:r>
          </ns0:p>
        </ns0:tc>
        <ns0:tc>
          <ns0:tcPr>
            <ns0:tcW ns0:type="dxa" ns0:w="4968"/>
            <ns0:vAlign ns0:val="center"/>
          </ns0:tcPr>
          <ns0:p>
            <ns0:r/>
            <ns0:r>
              <ns0:rPr>
                <ns0:b ns0:val="0"/>
                <ns0:sz ns0:val="18"/>
              </ns0:rPr>
              <ns0:t>2026-07-13</ns0:t>
            </ns0:r>
          </ns0:p>
        </ns0:tc>
      </ns0:tr>
      <ns0:tr>
        <ns0:tc>
          <ns0:tcPr>
            <ns0:tcW ns0:type="dxa" ns0:w="4968"/>
            <ns0:vAlign ns0:val="center"/>
            <ns0:shd ns0:fill="D9EAF7"/>
          </ns0:tcPr>
          <ns0:p>
            <ns0:r/>
            <ns0:r>
              <ns0:rPr>
                <ns0:b/>
                <ns0:sz ns0:val="18"/>
              </ns0:rPr>
              <ns0:t>Source dependency date/period</ns0:t>
            </ns0:r>
          </ns0:p>
        </ns0:tc>
        <ns0:tc>
          <ns0:tcPr>
            <ns0:tcW ns0:type="dxa" ns0:w="4968"/>
            <ns0:vAlign ns0:val="center"/>
          </ns0:tcPr>
          <ns0:p>
            <ns0:r/>
            <ns0:r>
              <ns0:rPr>
                <ns0:b ns0:val="0"/>
                <ns0:sz ns0:val="18"/>
              </ns0:rPr>
              <ns0:t>2026-07-13</ns0:t>
            </ns0:r>
          </ns0:p>
        </ns0:tc>
      </ns0:tr>
    </ns0:tbl>
    <ns0:p>
      <ns0:pPr>
        <ns0:pStyle ns0:val="Heading1"/>
      </ns0:pPr>
      <ns0:r>
        <ns0:t>Review purpose</ns0:t>
      </ns0:r>
    </ns0:p>
    <ns0:p>
      <ns0:r>
        <ns0:t>This bounded risk follow-up review is assigned to the 2026-07-13 review date. It separately evaluates source dependency p03-full-001824, whose source date/period is 2026-07-13, against AC-27 approval, retention, and exception-disposition expectations. It contains synthetic control evidence only and makes no claim about live systems, Kio indexing, or operational access.</ns0:t>
      </ns0:r>
    </ns0:p>
    <ns0:p>
      <ns0:pPr>
        <ns0:pStyle ns0:val="Heading1"/>
      </ns0:pPr>
      <ns0:r>
        <ns0:t>Evidence and assessment</ns0:t>
      </ns0:r>
    </ns0:p>
    <ns0:p>
      <ns0:r>
        <ns0:t>Dependency observation: Dependency record VRF-001824 documents supplier attestation for control AC-27; case CASE-260713-184, risk RISK-031, evidence set 184; 48 reviewed, 47 timely, 48 final, residual Medium, action ACT-260713-013. Review lens: checksum interpretation: verify the retention statement; working-paper sequence 355. Evidence set 184 contains 24 synthetic items: 12 access-review attestations, 6 approval records, 4 checksum manifests, and 2 exception records. RISK-031 concerns incomplete quarterly privileged-access review evidence. The risk follow-up remains distinct from the privileged-role population while preserving AC-27 evidence-chain terminology.</ns0:t>
      </ns0:r>
    </ns0:p>
    <ns0:tbl>
      <ns0:tblPr>
        <ns0:tblStyle ns0:val="TableGrid"/>
        <ns0:tblW ns0:type="auto" ns0:w="0"/>
        <ns0:jc ns0:val="left"/>
        <ns0:tblLook ns0:firstColumn="1" ns0:firstRow="1" ns0:lastColumn="0" ns0:lastRow="0" ns0:noHBand="0" ns0:noVBand="1" ns0:val="04A0"/>
      </ns0:tblPr>
      <ns0:tblGrid>
        <ns0:gridCol ns0:w="2484"/>
        <ns0:gridCol ns0:w="2484"/>
        <ns0:gridCol ns0:w="2484"/>
        <ns0:gridCol ns0:w="2484"/>
      </ns0:tblGrid>
      <ns0:tr>
        <ns0:tc>
          <ns0:tcPr>
            <ns0:tcW ns0:type="dxa" ns0:w="2484"/>
            <ns0:vAlign ns0:val="center"/>
            <ns0:shd ns0:fill="1F4E79"/>
          </ns0:tcPr>
          <ns0:p>
            <ns0:r/>
            <ns0:r>
              <ns0:rPr>
                <ns0:b/>
                <ns0:sz ns0:val="18"/>
              </ns0:rPr>
              <ns0:t>Check</ns0:t>
            </ns0:r>
          </ns0:p>
        </ns0:tc>
        <ns0:tc>
          <ns0:tcPr>
            <ns0:tcW ns0:type="dxa" ns0:w="2484"/>
            <ns0:vAlign ns0:val="center"/>
            <ns0:shd ns0:fill="1F4E79"/>
          </ns0:tcPr>
          <ns0:p>
            <ns0:r/>
            <ns0:r>
              <ns0:rPr>
                <ns0:b/>
                <ns0:sz ns0:val="18"/>
              </ns0:rPr>
              <ns0:t>Result</ns0:t>
            </ns0:r>
          </ns0:p>
        </ns0:tc>
        <ns0:tc>
          <ns0:tcPr>
            <ns0:tcW ns0:type="dxa" ns0:w="2484"/>
            <ns0:vAlign ns0:val="center"/>
            <ns0:shd ns0:fill="1F4E79"/>
          </ns0:tcPr>
          <ns0:p>
            <ns0:r/>
            <ns0:r>
              <ns0:rPr>
                <ns0:b/>
                <ns0:sz ns0:val="18"/>
              </ns0:rPr>
              <ns0:t>Evidence link</ns0:t>
            </ns0:r>
          </ns0:p>
        </ns0:tc>
        <ns0:tc>
          <ns0:tcPr>
            <ns0:tcW ns0:type="dxa" ns0:w="2484"/>
            <ns0:vAlign ns0:val="center"/>
            <ns0:shd ns0:fill="1F4E79"/>
          </ns0:tcPr>
          <ns0:p>
            <ns0:r/>
            <ns0:r>
              <ns0:rPr>
                <ns0:b/>
                <ns0:sz ns0:val="18"/>
              </ns0:rPr>
              <ns0:t>Disposition</ns0:t>
            </ns0:r>
          </ns0:p>
        </ns0:tc>
      </ns0:tr>
      <ns0:tr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Risk Follow-Up</ns0:t>
            </ns0:r>
          </ns0:p>
        </ns0:tc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Reviewed</ns0:t>
            </ns0:r>
          </ns0:p>
        </ns0:tc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p03-full-001824</ns0:t>
            </ns0:r>
          </ns0:p>
        </ns0:tc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Scope-specific review recorded 2026-07-13</ns0:t>
            </ns0:r>
          </ns0:p>
        </ns0:tc>
      </ns0:tr>
      <ns0:tr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Evidence linkage</ns0:t>
            </ns0:r>
          </ns0:p>
        </ns0:tc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Bounded follow-up</ns0:t>
            </ns0:r>
          </ns0:p>
        </ns0:tc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Evidence set 184</ns0:t>
            </ns0:r>
          </ns0:p>
        </ns0:tc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Retain under 18-month synthetic schedule</ns0:t>
            </ns0:r>
          </ns0:p>
        </ns0:tc>
      </ns0:tr>
      <ns0:tr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Exception handling</ns0:t>
            </ns0:r>
          </ns0:p>
        </ns0:tc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Role separation confirmed</ns0:t>
            </ns0:r>
          </ns0:p>
        </ns0:tc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EXC-260713-006</ns0:t>
            </ns0:r>
          </ns0:p>
        </ns0:tc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Compensating review completed 2026-07-14</ns0:t>
            </ns0:r>
          </ns0:p>
        </ns0:tc>
      </ns0:tr>
    </ns0:tbl>
    <ns0:p>
      <ns0:pPr>
        <ns0:pStyle ns0:val="Heading1"/>
      </ns0:pPr>
      <ns0:r>
        <ns0:t>Conclusion and next action</ns0:t>
      </ns0:r>
    </ns0:p>
    <ns0:p>
      <ns0:r>
        <ns0:t>The risk follow-up review supports a residual Medium rating for RISK-031 after compensating review. The scope-specific evidence link remains available for the scheduled governance follow-up. This document is a fictional evidence artifact for the 2026 Q3 governance period.</ns0:t>
      </ns0:r>
    </ns0:p>
    <ns0:p>
      <ns0:r>
        <ns0:br ns0:type="page"/>
      </ns0:r>
    </ns0:p>
    <ns0:p>
      <ns0:pPr>
        <ns0:pStyle ns0:val="QAV2Heading"/>
        <ns0:spacing ns0:after="160"/>
      </ns0:pPr>
      <ns0:r>
        <ns0:t>QA-v2 Evidence Boundary and Traceability</ns0:t>
      </ns0:r>
    </ns0:p>
    <ns0:p>
      <ns0:pPr>
        <ns0:spacing ns0:after="160"/>
      </ns0:pPr>
      <ns0:r>
        <ns0:t>Cobalt Harbor completed this assurance record for RISK-031 during review date 2026-07-13. It supports AC-27 / Evidence Set 184 by explaining the relationship between the reviewed material and the retained control evidence.</ns0:t>
      </ns0:r>
    </ns0:p>
    <ns0:tbl>
      <ns0:tblPr>
        <ns0:tblStyle ns0:val="QAV2TraceabilityTable"/>
        <ns0:tblW ns0:type="dxa" ns0:w="9000"/>
        <ns0:tblLayout ns0:type="fixed"/>
        <ns0:tblLook ns0:firstColumn="1" ns0:firstRow="1" ns0:lastColumn="0" ns0:lastRow="0" ns0:noHBand="0" ns0:noVBand="1" ns0:val="04A0"/>
        <ns0:tblBorders>
          <ns0:top ns0:val="single" ns0:sz="4" ns0:space="0" ns0:color="9DB2CE"/>
          <ns0:left ns0:val="single" ns0:sz="4" ns0:space="0" ns0:color="9DB2CE"/>
          <ns0:bottom ns0:val="single" ns0:sz="4" ns0:space="0" ns0:color="9DB2CE"/>
          <ns0:right ns0:val="single" ns0:sz="4" ns0:space="0" ns0:color="9DB2CE"/>
          <ns0:insideH ns0:val="single" ns0:sz="4" ns0:space="0" ns0:color="9DB2CE"/>
          <ns0:insideV ns0:val="single" ns0:sz="4" ns0:space="0" ns0:color="9DB2CE"/>
        </ns0:tblBorders>
      </ns0:tblPr>
      <ns0:tblGrid>
        <ns0:gridCol ns0:w="2232"/>
        <ns0:gridCol ns0:w="6768"/>
      </ns0:tblGrid>
      <ns0:tr>
        <ns0:tc>
          <ns0:tcPr>
            <ns0:tcW ns0:type="dxa" ns0:w="2232"/>
            <ns0:shd ns0:fill="D9EAF7"/>
          </ns0:tcPr>
          <ns0:p>
            <ns0:r>
              <ns0:rPr>
                <ns0:b/>
                <ns0:color ns0:val="17365D"/>
              </ns0:rPr>
              <ns0:t>Traceability item</ns0:t>
            </ns0:r>
          </ns0:p>
        </ns0:tc>
        <ns0:tc>
          <ns0:tcPr>
            <ns0:tcW ns0:type="dxa" ns0:w="6768"/>
            <ns0:shd ns0:fill="D9EAF7"/>
          </ns0:tcPr>
          <ns0:p>
            <ns0:r>
              <ns0:rPr>
                <ns0:b/>
                <ns0:color ns0:val="17365D"/>
              </ns0:rPr>
              <ns0:t>Evidence statement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Artifact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p03-full-000355 is recorded against source p03-src-000355 for this review.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Dependency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The upstream evidence dependency is p03-full-001824 (source p03-src-001824); it is retained as provenance for reconciliation.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Boundary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This document is an offline assurance record. It makes no Kio capability claim, contains no credential, and directs no external connection.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Reviewer use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Use the control relationship and cited dependency to verify evidence lineage, not to infer operational authority.</ns0:t>
            </ns0:r>
          </ns0:p>
        </ns0:tc>
      </ns0:tr>
    </ns0:tbl>
    <ns0:p>
      <ns0:pPr>
        <ns0:spacing ns0:before="160" ns0:after="0"/>
      </ns0:pPr>
      <ns0:r>
        <ns0:rPr>
          <ns0:b/>
        </ns0:rPr>
        <ns0:t xml:space="preserve">QA-v2 note: </ns0:t>
      </ns0:r>
      <ns0:r>
        <ns0:t>The wording above was added to make the evidence relationship, scope, and non-operational boundary explicit without changing the historical record's purpose.</ns0:t>
      </ns0:r>
    </ns0:p>
    <ns0:sectPr ns0:rsidR="00FC693F" ns0:rsidRPr="0006063C" ns0:rsidSect="00034616">
      <ns0:headerReference ns0:type="default" ns2:id="rId9"/>
      <ns0:footerReference ns0:type="default" ns2:id="rId10"/>
      <ns0:pgSz ns0:w="12240" ns0:h="15840"/>
      <ns0:pgMar ns0:top="1080" ns0:right="1152" ns0:bottom="1008" ns0:left="1152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Synthetic GRC evidence | AC-27 | p03-full-000355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6"/>
      </w:rPr>
      <w:t>COBALT HARBOR SYSTEMS  |  THIRD-PARTY ASSURANCE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AV2Heading">
    <w:name w:val="QA V2 Heading"/>
    <w:basedOn w:val="Heading1"/>
    <w:rPr>
      <w:rFonts w:ascii="Aptos Display" w:hAnsi="Aptos Display"/>
      <w:b/>
      <w:color w:val="17365D"/>
      <w:sz w:val="32"/>
    </w:rPr>
  </w:style>
  <w:style w:type="table" w:customStyle="1" w:styleId="QAV2TraceabilityTable">
    <w:name w:val="QA V2 Traceability Table"/>
    <w:basedOn w:val="TableNormal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AC-27 vendor risk review</dc:title>
  <dc:subject>QA-v2 RISK-031 assurance evidence and traceability</dc:subject>
  <dc:creator>Cobalt Harbor</dc:creator>
  <ns0:keywords>Cobalt Harbor; RISK-031; AC-27; Evidence 184; no Kio capability</ns0:keywords>
  <dc:description>QA-v2 traceability remediation for p03-full-000355</dc:description>
  <ns0:lastModifiedBy/>
  <ns0:revision>1</ns0:revision>
  <ns2:created xsi:type="dcterms:W3CDTF">2013-12-23T23:15:00Z</ns2:created>
  <ns2:modified xsi:type="dcterms:W3CDTF">2013-12-23T23:15:00Z</ns2:modified>
  <ns0:category/>
</ns0:coreProperties>
</file>