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jc ns0:val="left"/>
      </ns0:pPr>
      <ns0:r>
        <ns0:t>Vendor Risk Review Document</ns0:t>
      </ns0:r>
    </ns0:p>
    <ns0:p>
      <ns0:r>
        <ns0:t>2026 07 20 Vendor Risk Supplier Attestation Review Document Docx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68"/>
        <ns0:gridCol ns0:w="4968"/>
      </ns0:tblGrid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Review reference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p03-full-000972</ns0:t>
            </ns0:r>
          </ns0:p>
        </ns0:tc>
      </ns0:tr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Own assigned review date/period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2026-07-20</ns0:t>
            </ns0:r>
          </ns0:p>
        </ns0:tc>
      </ns0:tr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Source dependency date/period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2026-07-14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bounded supplier attestation review is assigned to the 2026-07-20 review date. It separately evaluates source dependency p03-full-000185, whose source date/period is 2026-07-14, against AC-27 approval, retention, and exception-disposition expectations. It contains synthetic control evidence only and makes no claim about live systems, Kio indexing, or operational access.</ns0:t>
      </ns0:r>
    </ns0:p>
    <ns0:p>
      <ns0:pPr>
        <ns0:pStyle ns0:val="Heading1"/>
      </ns0:pPr>
      <ns0:r>
        <ns0:t>Evidence and assessment</ns0:t>
      </ns0:r>
    </ns0:p>
    <ns0:p>
      <ns0:r>
        <ns0:t>Dependency observation: Dependency record VRF-000185 documents subprocessor map for control AC-27; case CASE-260713-184, risk RISK-031, evidence set 184; 48 reviewed, 47 timely, 48 final, residual Medium, action ACT-260713-013. Review lens: approval separation: confirm the control narrative; working-paper sequence 972. Evidence set 184 contains 24 synthetic items: 12 access-review attestations, 6 approval records, 4 checksum manifests, and 2 exception records. RISK-031 concerns incomplete quarterly privileged-access review evidence. The supplier attestation follow-up remains distinct from the privileged-role population while preserving AC-27 evidence-chain terminology.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484"/>
        <ns0:gridCol ns0:w="2484"/>
        <ns0:gridCol ns0:w="2484"/>
        <ns0:gridCol ns0:w="2484"/>
      </ns0:tblGrid>
      <ns0:tr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Check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Result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Evidence link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Disposition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Supplier Attestation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Reviewed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p03-full-000185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Scope-specific review recorded 2026-07-20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Evidence linkage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Bounded follow-up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Evidence set 184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Retain under 18-month synthetic schedule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Exception handling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Role separation confirmed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EXC-260713-006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Compensating review completed 2026-07-14</ns0:t>
            </ns0:r>
          </ns0:p>
        </ns0:tc>
      </ns0:tr>
    </ns0:tbl>
    <ns0:p>
      <ns0:pPr>
        <ns0:pStyle ns0:val="Heading1"/>
      </ns0:pPr>
      <ns0:r>
        <ns0:t>Conclusion and next action</ns0:t>
      </ns0:r>
    </ns0:p>
    <ns0:p>
      <ns0:r>
        <ns0:t>The supplier attestation review supports a residual Medium rating for RISK-031 after compensating review. The scope-specific evidence link remains available for the scheduled governance follow-up. This document is a fictional evidence artifact for the 2026 Q3 governance period.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review date 2026-07-20. It supports AC-27 / Evidence Set 184 by explaining the relationship between the reviewed material and the retained control evidence.</ns0:t>
      </ns0:r>
    </ns0:p>
    <ns0:tbl>
      <ns0:tblPr>
        <ns0:tblStyle ns0:val="QAV2TraceabilityTable"/>
        <ns0:tblW ns0:type="dxa" ns0:w="9000"/>
        <ns0:tblLayout ns0:type="fixed"/>
        <ns0:tblLook ns0:firstColumn="1" ns0:firstRow="1" ns0:lastColumn="0" ns0:lastRow="0" ns0:noHBand="0" ns0:noVBand="1" ns0:val="04A0"/>
        <ns0:tblBorders>
          <ns0:top ns0:val="single" ns0:sz="4" ns0:space="0" ns0:color="9DB2CE"/>
          <ns0:left ns0:val="single" ns0:sz="4" ns0:space="0" ns0:color="9DB2CE"/>
          <ns0:bottom ns0:val="single" ns0:sz="4" ns0:space="0" ns0:color="9DB2CE"/>
          <ns0:right ns0:val="single" ns0:sz="4" ns0:space="0" ns0:color="9DB2CE"/>
          <ns0:insideH ns0:val="single" ns0:sz="4" ns0:space="0" ns0:color="9DB2CE"/>
          <ns0:insideV ns0:val="single" ns0:sz="4" ns0:space="0" ns0:color="9DB2CE"/>
        </ns0:tblBorders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p03-full-000972 is recorded against source p03-src-000972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p03-full-000185 (source p03-src-000185);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80" ns0:right="1152" ns0:bottom="1008" ns0:left="1152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AC-27 | p03-full-000972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THIRD-PARTY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AC-27 vendor risk review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p03-full-000972</dc:description>
  <ns0:lastModifiedBy/>
  <ns0:revision>1</ns0:revision>
  <ns2:created xsi:type="dcterms:W3CDTF">2013-12-23T23:15:00Z</ns2:created>
  <ns2:modified xsi:type="dcterms:W3CDTF">2013-12-23T23:15:00Z</ns2:modified>
  <ns0:category/>
</ns0:coreProperties>
</file>