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46B8F"/>
          <w:sz w:val="18"/>
        </w:rPr>
        <w:t>CUSTOMER ENABLEMENT PACK</w:t>
      </w:r>
    </w:p>
    <w:p>
      <w:pPr>
        <w:spacing w:before="0" w:after="160"/>
      </w:pPr>
      <w:r>
        <w:rPr>
          <w:rFonts w:ascii="Calibri" w:hAnsi="Calibri"/>
          <w:b/>
          <w:color w:val="163C55"/>
          <w:sz w:val="52"/>
        </w:rPr>
        <w:t>Quarterly Business Review Readout</w:t>
      </w:r>
    </w:p>
    <w:p>
      <w:pPr>
        <w:spacing w:after="360"/>
      </w:pPr>
      <w:r>
        <w:rPr>
          <w:rFonts w:ascii="Calibri" w:hAnsi="Calibri"/>
          <w:b w:val="0"/>
          <w:color w:val="53616E"/>
          <w:sz w:val="22"/>
        </w:rPr>
        <w:t>Account Alpha renewal transition | Prepared by Rowan Mercer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rFonts w:ascii="Calibri" w:hAnsi="Calibri"/>
                <w:b/>
                <w:color w:val="53616E"/>
                <w:sz w:val="16"/>
              </w:rPr>
              <w:t>Prepared for</w:t>
              <w:br/>
            </w:r>
            <w:r>
              <w:rPr>
                <w:rFonts w:ascii="Calibri" w:hAnsi="Calibri"/>
                <w:b/>
                <w:color w:val="163C55"/>
                <w:sz w:val="20"/>
              </w:rPr>
              <w:t>Avery Sloan, VP Operations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rFonts w:ascii="Calibri" w:hAnsi="Calibri"/>
                <w:b/>
                <w:color w:val="53616E"/>
                <w:sz w:val="16"/>
              </w:rPr>
              <w:t>Review period</w:t>
              <w:br/>
            </w:r>
            <w:r>
              <w:rPr>
                <w:rFonts w:ascii="Calibri" w:hAnsi="Calibri"/>
                <w:b/>
                <w:color w:val="163C55"/>
                <w:sz w:val="20"/>
              </w:rPr>
              <w:t>Renewal close and term transition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rFonts w:ascii="Calibri" w:hAnsi="Calibri"/>
                <w:b/>
                <w:color w:val="53616E"/>
                <w:sz w:val="16"/>
              </w:rPr>
              <w:t>Term</w:t>
              <w:br/>
            </w:r>
            <w:r>
              <w:rPr>
                <w:rFonts w:ascii="Calibri" w:hAnsi="Calibri"/>
                <w:b/>
                <w:color w:val="163C55"/>
                <w:sz w:val="20"/>
              </w:rPr>
              <w:t>2026-07-18 to 2027-07-17</w:t>
            </w:r>
          </w:p>
        </w:tc>
        <w:tc>
          <w:tcPr>
            <w:tcW w:type="dxa" w:w="4680"/>
            <w:vAlign w:val="center"/>
            <w:shd w:fill="E8EEF5"/>
          </w:tcPr>
          <w:p>
            <w:r>
              <w:rPr>
                <w:rFonts w:ascii="Calibri" w:hAnsi="Calibri"/>
                <w:b/>
                <w:color w:val="53616E"/>
                <w:sz w:val="16"/>
              </w:rPr>
              <w:t>Annual total</w:t>
              <w:br/>
            </w:r>
            <w:r>
              <w:rPr>
                <w:rFonts w:ascii="Calibri" w:hAnsi="Calibri"/>
                <w:b/>
                <w:color w:val="163C55"/>
                <w:sz w:val="20"/>
              </w:rPr>
              <w:t>USD 248,000</w:t>
            </w:r>
          </w:p>
        </w:tc>
      </w:tr>
    </w:tbl>
    <w:p>
      <w:pPr>
        <w:pStyle w:val="Heading1"/>
      </w:pPr>
      <w:r>
        <w:t>Renewal outcome</w:t>
      </w:r>
    </w:p>
    <w:p>
      <w:r>
        <w:t>Account Alpha is positioned to begin the renewed annual term with a confirmed commercial schedule and clear operational follow-through. The package preserves Enterprise Platform continuity while adding the agreed success cadence and data integration scope.</w:t>
      </w:r>
    </w:p>
    <w:p>
      <w:pPr>
        <w:pStyle w:val="Heading2"/>
      </w:pPr>
      <w:r>
        <w:t>Commercial schedule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E8EEF5"/>
          </w:tcPr>
          <w:p>
            <w:r>
              <w:rPr>
                <w:rFonts w:ascii="Calibri" w:hAnsi="Calibri"/>
                <w:b/>
                <w:color w:val="163C55"/>
                <w:sz w:val="20"/>
              </w:rPr>
              <w:t>Component</w:t>
            </w:r>
          </w:p>
        </w:tc>
        <w:tc>
          <w:tcPr>
            <w:tcW w:type="dxa" w:w="6660"/>
            <w:vAlign w:val="center"/>
            <w:shd w:fill="E8EEF5"/>
          </w:tcPr>
          <w:p>
            <w:r>
              <w:rPr>
                <w:rFonts w:ascii="Calibri" w:hAnsi="Calibri"/>
                <w:b/>
                <w:color w:val="163C55"/>
                <w:sz w:val="20"/>
              </w:rPr>
              <w:t>Annual amount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20"/>
              </w:rPr>
              <w:t>Enterprise Platform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20"/>
              </w:rPr>
              <w:t>USD 210,000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20"/>
              </w:rPr>
              <w:t>Success Plus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20"/>
              </w:rPr>
              <w:t>USD 24,000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 w:val="0"/>
                <w:sz w:val="20"/>
              </w:rPr>
              <w:t>Data Connect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sz w:val="20"/>
              </w:rPr>
              <w:t>USD 14,000</w:t>
            </w:r>
          </w:p>
        </w:tc>
      </w:tr>
      <w:tr>
        <w:tc>
          <w:tcPr>
            <w:tcW w:type="dxa" w:w="2700"/>
          </w:tcPr>
          <w:p>
            <w:r>
              <w:rPr>
                <w:rFonts w:ascii="Calibri" w:hAnsi="Calibri"/>
                <w:b/>
                <w:color w:val="163C55"/>
                <w:sz w:val="20"/>
              </w:rPr>
              <w:t>Approved annual total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/>
                <w:color w:val="163C55"/>
                <w:sz w:val="20"/>
              </w:rPr>
              <w:t>USD 248,000</w:t>
            </w:r>
          </w:p>
        </w:tc>
      </w:tr>
    </w:tbl>
    <w:p>
      <w:pPr>
        <w:pStyle w:val="Heading2"/>
      </w:pPr>
      <w:r>
        <w:t>What was resolved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Security review accepted the documented Data Connect integration response.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Legal redlines closed with a deployment-checklist reference and no commercial change.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Success Plus quarterly operating reviews remain part of the renewal success plan.</w:t>
      </w:r>
    </w:p>
    <w:p>
      <w:pPr>
        <w:pStyle w:val="Heading2"/>
      </w:pPr>
      <w:r>
        <w:t>QBR follow-through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Avery Sloan nominates Operations attendees by July 24.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Rowan Mercer confirms the initial QBR date after the PO reference is received.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sz w:val="22"/>
        </w:rPr>
        <w:t>Elliot Park is the technical contact for the Data Connect deployment checklist.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3616E"/>
        <w:sz w:val="16"/>
      </w:rPr>
      <w:t>Northstar Cloud | Account Alpha renewal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3616E"/>
        <w:sz w:val="16"/>
      </w:rPr>
      <w:t>Customer Pack | Account Alpha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 Alpha Quarterly Business Review Readout</dc:title>
  <dc:subject/>
  <dc:creator>Northstar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