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46B8F"/>
          <w:sz w:val="18"/>
        </w:rPr>
        <w:t>WORKSHOP AGENDA</w:t>
      </w:r>
    </w:p>
    <w:p>
      <w:pPr>
        <w:spacing w:before="0" w:after="160"/>
      </w:pPr>
      <w:r>
        <w:rPr>
          <w:rFonts w:ascii="Calibri" w:hAnsi="Calibri"/>
          <w:b/>
          <w:color w:val="163C55"/>
          <w:sz w:val="52"/>
        </w:rPr>
        <w:t>Account Alpha renewal kickoff</w:t>
      </w:r>
    </w:p>
    <w:p>
      <w:pPr>
        <w:spacing w:after="360"/>
      </w:pPr>
      <w:r>
        <w:rPr>
          <w:rFonts w:ascii="Calibri" w:hAnsi="Calibri"/>
          <w:b w:val="0"/>
          <w:color w:val="53616E"/>
          <w:sz w:val="22"/>
        </w:rPr>
        <w:t>First-quarter operating session | Facilitated by Rowan Mercer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Session date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To be scheduled after PO reference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Duration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60 minutes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Primary sponsor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Avery Sloan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Term start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2026-07-18</w:t>
            </w:r>
          </w:p>
        </w:tc>
      </w:tr>
    </w:tbl>
    <w:p>
      <w:pPr>
        <w:pStyle w:val="Heading1"/>
      </w:pPr>
      <w:r>
        <w:t>Session objective</w:t>
      </w:r>
    </w:p>
    <w:p>
      <w:r>
        <w:t>Translate the signed renewal into a shared operating plan for Enterprise Platform continuity, Success Plus quarterly reviews, and Data Connect deployment readiness.</w:t>
      </w:r>
    </w:p>
    <w:p>
      <w:pPr>
        <w:pStyle w:val="Heading2"/>
      </w:pPr>
      <w:r>
        <w:t>Run of show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900"/>
        <w:gridCol w:w="4020"/>
      </w:tblGrid>
      <w:tr>
        <w:tc>
          <w:tcPr>
            <w:tcW w:type="dxa" w:w="1440"/>
            <w:vAlign w:val="center"/>
            <w:shd w:fill="E8EEF5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Time</w:t>
            </w:r>
          </w:p>
        </w:tc>
        <w:tc>
          <w:tcPr>
            <w:tcW w:type="dxa" w:w="3900"/>
            <w:vAlign w:val="center"/>
            <w:shd w:fill="E8EEF5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Topic</w:t>
            </w:r>
          </w:p>
        </w:tc>
        <w:tc>
          <w:tcPr>
            <w:tcW w:type="dxa" w:w="4020"/>
            <w:vAlign w:val="center"/>
            <w:shd w:fill="E8EEF5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Outcome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0:00-0:10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20"/>
              </w:rPr>
              <w:t>Renewal confirmation</w:t>
            </w:r>
          </w:p>
        </w:tc>
        <w:tc>
          <w:tcPr>
            <w:tcW w:type="dxa" w:w="4020"/>
          </w:tcPr>
          <w:p>
            <w:r>
              <w:rPr>
                <w:rFonts w:ascii="Calibri" w:hAnsi="Calibri"/>
                <w:sz w:val="20"/>
              </w:rPr>
              <w:t>Confirm term, owners, and USD 248,000 annual schedule.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0:10-0:25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20"/>
              </w:rPr>
              <w:t>Operations outcomes</w:t>
            </w:r>
          </w:p>
        </w:tc>
        <w:tc>
          <w:tcPr>
            <w:tcW w:type="dxa" w:w="4020"/>
          </w:tcPr>
          <w:p>
            <w:r>
              <w:rPr>
                <w:rFonts w:ascii="Calibri" w:hAnsi="Calibri"/>
                <w:sz w:val="20"/>
              </w:rPr>
              <w:t>Set handoff and visibility measures with Avery Sloan.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0:25-0:40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20"/>
              </w:rPr>
              <w:t>Data Connect readiness</w:t>
            </w:r>
          </w:p>
        </w:tc>
        <w:tc>
          <w:tcPr>
            <w:tcW w:type="dxa" w:w="4020"/>
          </w:tcPr>
          <w:p>
            <w:r>
              <w:rPr>
                <w:rFonts w:ascii="Calibri" w:hAnsi="Calibri"/>
                <w:sz w:val="20"/>
              </w:rPr>
              <w:t>Review deployment checklist and Elliot Park technical ownership.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0:40-0:55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20"/>
              </w:rPr>
              <w:t>Success Plus cadence</w:t>
            </w:r>
          </w:p>
        </w:tc>
        <w:tc>
          <w:tcPr>
            <w:tcW w:type="dxa" w:w="4020"/>
          </w:tcPr>
          <w:p>
            <w:r>
              <w:rPr>
                <w:rFonts w:ascii="Calibri" w:hAnsi="Calibri"/>
                <w:sz w:val="20"/>
              </w:rPr>
              <w:t>Set first quarterly review date and participant list.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0:55-1:00</w:t>
            </w:r>
          </w:p>
        </w:tc>
        <w:tc>
          <w:tcPr>
            <w:tcW w:type="dxa" w:w="3900"/>
          </w:tcPr>
          <w:p>
            <w:r>
              <w:rPr>
                <w:rFonts w:ascii="Calibri" w:hAnsi="Calibri"/>
                <w:sz w:val="20"/>
              </w:rPr>
              <w:t>Commitments</w:t>
            </w:r>
          </w:p>
        </w:tc>
        <w:tc>
          <w:tcPr>
            <w:tcW w:type="dxa" w:w="4020"/>
          </w:tcPr>
          <w:p>
            <w:r>
              <w:rPr>
                <w:rFonts w:ascii="Calibri" w:hAnsi="Calibri"/>
                <w:sz w:val="20"/>
              </w:rPr>
              <w:t>Record actions, due dates, and escalation path.</w:t>
            </w:r>
          </w:p>
        </w:tc>
      </w:tr>
    </w:tbl>
    <w:p>
      <w:pPr>
        <w:pStyle w:val="Heading2"/>
      </w:pPr>
      <w:r>
        <w:t>Participants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Rowan Mercer, Northstar Cloud Account Executive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Avery Sloan, Account Alpha VP Operations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Elliot Park, Northstar Cloud Sales Engineer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Morgan Hale, Account Alpha Procurement (first 10 minutes, as needed)</w:t>
      </w:r>
    </w:p>
    <w:p>
      <w:r>
        <w:br w:type="page"/>
      </w:r>
    </w:p>
    <w:p>
      <w:pPr>
        <w:pStyle w:val="Heading1"/>
      </w:pPr>
      <w:r>
        <w:t>Preparation and working notes</w:t>
      </w:r>
    </w:p>
    <w:p>
      <w:r>
        <w:t>Use this page to arrive with the operating details needed to convert the signed renewal into a repeatable first-quarter rhythm. The commercial schedule is fixed; the session should focus on adoption, ownership, and readiness.</w:t>
      </w:r>
    </w:p>
    <w:p>
      <w:pPr>
        <w:pStyle w:val="Heading2"/>
      </w:pPr>
      <w:r>
        <w:t>Pre-work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Avery: nominate QBR attendees and confirm operating measures.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Elliot: bring the Data Connect deployment checklist.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Rowan: circulate the final commercial schedule: USD 210,000 + USD 24,000 + USD 14,000 = USD 248,000.</w:t>
      </w:r>
    </w:p>
    <w:p>
      <w:pPr>
        <w:pStyle w:val="Heading2"/>
      </w:pPr>
      <w:r>
        <w:t>Decision criteria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 named Operations owner is accountable for each agreed success measure.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Data Connect checklist identifies a clear technical handoff and a next checkpoint.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first quarterly review has a date, participant list, and concise decision record.</w:t>
      </w:r>
    </w:p>
    <w:p>
      <w:pPr>
        <w:pStyle w:val="Heading2"/>
      </w:pPr>
      <w:r>
        <w:t>Expected outputs</w:t>
      </w:r>
    </w:p>
    <w:p>
      <w:r>
        <w:t>Rowan will circulate a five-business-day action recap with owners and dates. Any timing risk to the July 18 term transition is escalated to Priya Noland through the established executive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16E"/>
        <w:sz w:val="16"/>
      </w:rPr>
      <w:t>Northstar Cloud | Account Alpha renewal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3616E"/>
        <w:sz w:val="16"/>
      </w:rPr>
      <w:t>Workshop Agenda |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Alpha Next Meeting Agenda</dc:title>
  <dc:subject/>
  <dc:creator>Northstar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