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Forecast Commit Rationale</w:t>
      </w:r>
    </w:p>
    <w:p>
      <w:r>
        <w:t>Renewal decision: 2026-07-17  |  Owner: Rowan Mercer</w:t>
      </w:r>
    </w:p>
    <w:p>
      <w:pPr>
        <w:pStyle w:val="Heading1"/>
      </w:pPr>
      <w:r>
        <w:t>Commit position</w:t>
      </w:r>
    </w:p>
    <w:p>
      <w:r>
        <w:t>Commit USD 248,000 annual renewal for Account Alpha. The term runs 2026-07-18 through 2027-07-17 and the pricing package is internally approved.</w:t>
      </w:r>
    </w:p>
    <w:p>
      <w:pPr>
        <w:pStyle w:val="Heading1"/>
      </w:pPr>
      <w:r>
        <w:t>Evidence supporting commit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B1F3A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3264"/>
            <w:shd w:fill="0B1F3A"/>
          </w:tcPr>
          <w:p>
            <w:r>
              <w:rPr>
                <w:b/>
                <w:color w:val="FFFFFF"/>
              </w:rPr>
              <w:t>Evidence</w:t>
            </w:r>
          </w:p>
        </w:tc>
        <w:tc>
          <w:tcPr>
            <w:tcW w:type="dxa" w:w="3264"/>
            <w:shd w:fill="0B1F3A"/>
          </w:tcPr>
          <w:p>
            <w:r>
              <w:rPr>
                <w:b/>
                <w:color w:val="FFFFFF"/>
              </w:rPr>
              <w:t>Owner / date</w:t>
            </w:r>
          </w:p>
        </w:tc>
      </w:tr>
      <w:tr>
        <w:tc>
          <w:tcPr>
            <w:tcW w:type="dxa" w:w="3264"/>
            <w:vAlign w:val="top"/>
          </w:tcPr>
          <w:p>
            <w:r>
              <w:t>Sponsor alignment</w:t>
            </w:r>
          </w:p>
        </w:tc>
        <w:tc>
          <w:tcPr>
            <w:tcW w:type="dxa" w:w="3264"/>
            <w:vAlign w:val="top"/>
          </w:tcPr>
          <w:p>
            <w:r>
              <w:t>Avery Sloan confirms outcome measures and decision path.</w:t>
            </w:r>
          </w:p>
        </w:tc>
        <w:tc>
          <w:tcPr>
            <w:tcW w:type="dxa" w:w="3264"/>
            <w:vAlign w:val="top"/>
          </w:tcPr>
          <w:p>
            <w:r>
              <w:t>Rowan / 2026-07-01</w:t>
            </w:r>
          </w:p>
        </w:tc>
      </w:tr>
      <w:tr>
        <w:tc>
          <w:tcPr>
            <w:tcW w:type="dxa" w:w="3264"/>
            <w:vAlign w:val="top"/>
          </w:tcPr>
          <w:p>
            <w:r>
              <w:t>Technical readiness</w:t>
            </w:r>
          </w:p>
        </w:tc>
        <w:tc>
          <w:tcPr>
            <w:tcW w:type="dxa" w:w="3264"/>
            <w:vAlign w:val="top"/>
          </w:tcPr>
          <w:p>
            <w:r>
              <w:t>Data Connect scope is bounded for validation.</w:t>
            </w:r>
          </w:p>
        </w:tc>
        <w:tc>
          <w:tcPr>
            <w:tcW w:type="dxa" w:w="3264"/>
            <w:vAlign w:val="top"/>
          </w:tcPr>
          <w:p>
            <w:r>
              <w:t>Elliot Park / 2026-06-26</w:t>
            </w:r>
          </w:p>
        </w:tc>
      </w:tr>
      <w:tr>
        <w:tc>
          <w:tcPr>
            <w:tcW w:type="dxa" w:w="3264"/>
            <w:vAlign w:val="top"/>
          </w:tcPr>
          <w:p>
            <w:r>
              <w:t>Process certainty</w:t>
            </w:r>
          </w:p>
        </w:tc>
        <w:tc>
          <w:tcPr>
            <w:tcW w:type="dxa" w:w="3264"/>
            <w:vAlign w:val="top"/>
          </w:tcPr>
          <w:p>
            <w:r>
              <w:t>Morgan Hale confirms procurement routing.</w:t>
            </w:r>
          </w:p>
        </w:tc>
        <w:tc>
          <w:tcPr>
            <w:tcW w:type="dxa" w:w="3264"/>
            <w:vAlign w:val="top"/>
          </w:tcPr>
          <w:p>
            <w:r>
              <w:t>Morgan / 2026-07-10</w:t>
            </w:r>
          </w:p>
        </w:tc>
      </w:tr>
      <w:tr>
        <w:tc>
          <w:tcPr>
            <w:tcW w:type="dxa" w:w="3264"/>
            <w:vAlign w:val="top"/>
          </w:tcPr>
          <w:p>
            <w:r>
              <w:t>Commercial control</w:t>
            </w:r>
          </w:p>
        </w:tc>
        <w:tc>
          <w:tcPr>
            <w:tcW w:type="dxa" w:w="3264"/>
            <w:vAlign w:val="top"/>
          </w:tcPr>
          <w:p>
            <w:r>
              <w:t>Clean order form reflects approved total.</w:t>
            </w:r>
          </w:p>
        </w:tc>
        <w:tc>
          <w:tcPr>
            <w:tcW w:type="dxa" w:w="3264"/>
            <w:vAlign w:val="top"/>
          </w:tcPr>
          <w:p>
            <w:r>
              <w:t>Rowan / 2026-07-08</w:t>
            </w:r>
          </w:p>
        </w:tc>
      </w:tr>
    </w:tbl>
    <w:p>
      <w:pPr>
        <w:pStyle w:val="Heading1"/>
      </w:pPr>
      <w:r>
        <w:t>Amount reconciliation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0B1F3A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896"/>
            <w:shd w:fill="0B1F3A"/>
          </w:tcPr>
          <w:p>
            <w:r>
              <w:rPr>
                <w:b/>
                <w:color w:val="FFFFFF"/>
              </w:rPr>
              <w:t>Annual USD</w:t>
            </w:r>
          </w:p>
        </w:tc>
      </w:tr>
      <w:tr>
        <w:tc>
          <w:tcPr>
            <w:tcW w:type="dxa" w:w="4896"/>
            <w:vAlign w:val="top"/>
          </w:tcPr>
          <w:p>
            <w:r>
              <w:t>Enterprise Platform</w:t>
            </w:r>
          </w:p>
        </w:tc>
        <w:tc>
          <w:tcPr>
            <w:tcW w:type="dxa" w:w="4896"/>
            <w:vAlign w:val="top"/>
          </w:tcPr>
          <w:p>
            <w:r>
              <w:t>210,000</w:t>
            </w:r>
          </w:p>
        </w:tc>
      </w:tr>
      <w:tr>
        <w:tc>
          <w:tcPr>
            <w:tcW w:type="dxa" w:w="4896"/>
            <w:vAlign w:val="top"/>
          </w:tcPr>
          <w:p>
            <w:r>
              <w:t>Success Plus</w:t>
            </w:r>
          </w:p>
        </w:tc>
        <w:tc>
          <w:tcPr>
            <w:tcW w:type="dxa" w:w="4896"/>
            <w:vAlign w:val="top"/>
          </w:tcPr>
          <w:p>
            <w:r>
              <w:t>24,000</w:t>
            </w:r>
          </w:p>
        </w:tc>
      </w:tr>
      <w:tr>
        <w:tc>
          <w:tcPr>
            <w:tcW w:type="dxa" w:w="4896"/>
            <w:vAlign w:val="top"/>
          </w:tcPr>
          <w:p>
            <w:r>
              <w:t>Data Connect</w:t>
            </w:r>
          </w:p>
        </w:tc>
        <w:tc>
          <w:tcPr>
            <w:tcW w:type="dxa" w:w="4896"/>
            <w:vAlign w:val="top"/>
          </w:tcPr>
          <w:p>
            <w:r>
              <w:t>14,000</w:t>
            </w:r>
          </w:p>
        </w:tc>
      </w:tr>
      <w:tr>
        <w:tc>
          <w:tcPr>
            <w:tcW w:type="dxa" w:w="4896"/>
            <w:vAlign w:val="top"/>
          </w:tcPr>
          <w:p>
            <w:r>
              <w:t>Total</w:t>
            </w:r>
          </w:p>
        </w:tc>
        <w:tc>
          <w:tcPr>
            <w:tcW w:type="dxa" w:w="4896"/>
            <w:vAlign w:val="top"/>
          </w:tcPr>
          <w:p>
            <w:r>
              <w:t>248,000</w:t>
            </w:r>
          </w:p>
        </w:tc>
      </w:tr>
    </w:tbl>
    <w:p>
      <w:pPr>
        <w:pStyle w:val="Heading1"/>
      </w:pPr>
      <w:r>
        <w:t>Risk controls</w:t>
      </w:r>
    </w:p>
    <w:p>
      <w:r>
        <w:t>Late legal review is the main close risk. Rowan publishes daily status in close week; unresolved material redlines after 2026-07-15 escalate to Priya Noland. No unapproved concession changes the forecast.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Northstar Cloud internal working brief  •  Rowan Mercer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2F6BFF"/>
      </w:rPr>
      <w:t>NORTHSTAR CLOUD  |  ACCOUNT ALPHA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6BF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1F3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B1F3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