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Renewal Risk Register</w:t>
      </w:r>
    </w:p>
    <w:p>
      <w:r>
        <w:t>Account Alpha renewal  |  Owner: Rowan Mercer</w:t>
      </w:r>
    </w:p>
    <w:p>
      <w:pPr>
        <w:pStyle w:val="Heading1"/>
      </w:pPr>
      <w:r>
        <w:t>Operating intent</w:t>
      </w:r>
    </w:p>
    <w:p>
      <w:r>
        <w:t>Use this register at the weekly close review. Status is assessed against the 2026-07-17 decision date; each row has a named action rather than a generic mitigation.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0B1F3A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958"/>
            <w:shd w:fill="0B1F3A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1958"/>
            <w:shd w:fill="0B1F3A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958"/>
            <w:shd w:fill="0B1F3A"/>
          </w:tcPr>
          <w:p>
            <w:r>
              <w:rPr>
                <w:b/>
                <w:color w:val="FFFFFF"/>
              </w:rPr>
              <w:t>Mitigation / owner</w:t>
            </w:r>
          </w:p>
        </w:tc>
        <w:tc>
          <w:tcPr>
            <w:tcW w:type="dxa" w:w="1958"/>
            <w:shd w:fill="0B1F3A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1958"/>
            <w:vAlign w:val="top"/>
          </w:tcPr>
          <w:p>
            <w:r>
              <w:t>Procurement routing starts late</w:t>
            </w:r>
          </w:p>
        </w:tc>
        <w:tc>
          <w:tcPr>
            <w:tcW w:type="dxa" w:w="1958"/>
            <w:vAlign w:val="top"/>
          </w:tcPr>
          <w:p>
            <w:r>
              <w:t>Amber</w:t>
            </w:r>
          </w:p>
        </w:tc>
        <w:tc>
          <w:tcPr>
            <w:tcW w:type="dxa" w:w="1958"/>
            <w:vAlign w:val="top"/>
          </w:tcPr>
          <w:p>
            <w:r>
              <w:t>No route confirmed</w:t>
            </w:r>
          </w:p>
        </w:tc>
        <w:tc>
          <w:tcPr>
            <w:tcW w:type="dxa" w:w="1958"/>
            <w:vAlign w:val="top"/>
          </w:tcPr>
          <w:p>
            <w:r>
              <w:t>Send complete supplier packet; Morgan Hale confirms path.</w:t>
            </w:r>
          </w:p>
        </w:tc>
        <w:tc>
          <w:tcPr>
            <w:tcW w:type="dxa" w:w="1958"/>
            <w:vAlign w:val="top"/>
          </w:tcPr>
          <w:p>
            <w:r>
              <w:t>2026-07-10</w:t>
            </w:r>
          </w:p>
        </w:tc>
      </w:tr>
      <w:tr>
        <w:tc>
          <w:tcPr>
            <w:tcW w:type="dxa" w:w="1958"/>
            <w:vAlign w:val="top"/>
          </w:tcPr>
          <w:p>
            <w:r>
              <w:t>Legal redlines fragment</w:t>
            </w:r>
          </w:p>
        </w:tc>
        <w:tc>
          <w:tcPr>
            <w:tcW w:type="dxa" w:w="1958"/>
            <w:vAlign w:val="top"/>
          </w:tcPr>
          <w:p>
            <w:r>
              <w:t>Amber</w:t>
            </w:r>
          </w:p>
        </w:tc>
        <w:tc>
          <w:tcPr>
            <w:tcW w:type="dxa" w:w="1958"/>
            <w:vAlign w:val="top"/>
          </w:tcPr>
          <w:p>
            <w:r>
              <w:t>Multiple channels</w:t>
            </w:r>
          </w:p>
        </w:tc>
        <w:tc>
          <w:tcPr>
            <w:tcW w:type="dxa" w:w="1958"/>
            <w:vAlign w:val="top"/>
          </w:tcPr>
          <w:p>
            <w:r>
              <w:t>Single tracker; Rowan Mercer consolidates.</w:t>
            </w:r>
          </w:p>
        </w:tc>
        <w:tc>
          <w:tcPr>
            <w:tcW w:type="dxa" w:w="1958"/>
            <w:vAlign w:val="top"/>
          </w:tcPr>
          <w:p>
            <w:r>
              <w:t>2026-07-13</w:t>
            </w:r>
          </w:p>
        </w:tc>
      </w:tr>
      <w:tr>
        <w:tc>
          <w:tcPr>
            <w:tcW w:type="dxa" w:w="1958"/>
            <w:vAlign w:val="top"/>
          </w:tcPr>
          <w:p>
            <w:r>
              <w:t>Sponsor outcome proof weak</w:t>
            </w:r>
          </w:p>
        </w:tc>
        <w:tc>
          <w:tcPr>
            <w:tcW w:type="dxa" w:w="1958"/>
            <w:vAlign w:val="top"/>
          </w:tcPr>
          <w:p>
            <w:r>
              <w:t>Amber</w:t>
            </w:r>
          </w:p>
        </w:tc>
        <w:tc>
          <w:tcPr>
            <w:tcW w:type="dxa" w:w="1958"/>
            <w:vAlign w:val="top"/>
          </w:tcPr>
          <w:p>
            <w:r>
              <w:t>Avery requests more evidence</w:t>
            </w:r>
          </w:p>
        </w:tc>
        <w:tc>
          <w:tcPr>
            <w:tcW w:type="dxa" w:w="1958"/>
            <w:vAlign w:val="top"/>
          </w:tcPr>
          <w:p>
            <w:r>
              <w:t>Review scorecard and adoption plan.</w:t>
            </w:r>
          </w:p>
        </w:tc>
        <w:tc>
          <w:tcPr>
            <w:tcW w:type="dxa" w:w="1958"/>
            <w:vAlign w:val="top"/>
          </w:tcPr>
          <w:p>
            <w:r>
              <w:t>2026-07-01</w:t>
            </w:r>
          </w:p>
        </w:tc>
      </w:tr>
      <w:tr>
        <w:tc>
          <w:tcPr>
            <w:tcW w:type="dxa" w:w="1958"/>
            <w:vAlign w:val="top"/>
          </w:tcPr>
          <w:p>
            <w:r>
              <w:t>Data Connect review expands</w:t>
            </w:r>
          </w:p>
        </w:tc>
        <w:tc>
          <w:tcPr>
            <w:tcW w:type="dxa" w:w="1958"/>
            <w:vAlign w:val="top"/>
          </w:tcPr>
          <w:p>
            <w:r>
              <w:t>Yellow</w:t>
            </w:r>
          </w:p>
        </w:tc>
        <w:tc>
          <w:tcPr>
            <w:tcW w:type="dxa" w:w="1958"/>
            <w:vAlign w:val="top"/>
          </w:tcPr>
          <w:p>
            <w:r>
              <w:t>New material scope</w:t>
            </w:r>
          </w:p>
        </w:tc>
        <w:tc>
          <w:tcPr>
            <w:tcW w:type="dxa" w:w="1958"/>
            <w:vAlign w:val="top"/>
          </w:tcPr>
          <w:p>
            <w:r>
              <w:t>Elliot Park classifies impact; keep commercial scope stable.</w:t>
            </w:r>
          </w:p>
        </w:tc>
        <w:tc>
          <w:tcPr>
            <w:tcW w:type="dxa" w:w="1958"/>
            <w:vAlign w:val="top"/>
          </w:tcPr>
          <w:p>
            <w:r>
              <w:t>2026-06-26</w:t>
            </w:r>
          </w:p>
        </w:tc>
      </w:tr>
      <w:tr>
        <w:tc>
          <w:tcPr>
            <w:tcW w:type="dxa" w:w="1958"/>
            <w:vAlign w:val="top"/>
          </w:tcPr>
          <w:p>
            <w:r>
              <w:t>Signature window compresses</w:t>
            </w:r>
          </w:p>
        </w:tc>
        <w:tc>
          <w:tcPr>
            <w:tcW w:type="dxa" w:w="1958"/>
            <w:vAlign w:val="top"/>
          </w:tcPr>
          <w:p>
            <w:r>
              <w:t>Red</w:t>
            </w:r>
          </w:p>
        </w:tc>
        <w:tc>
          <w:tcPr>
            <w:tcW w:type="dxa" w:w="1958"/>
            <w:vAlign w:val="top"/>
          </w:tcPr>
          <w:p>
            <w:r>
              <w:t>Open material item after 07-15</w:t>
            </w:r>
          </w:p>
        </w:tc>
        <w:tc>
          <w:tcPr>
            <w:tcW w:type="dxa" w:w="1958"/>
            <w:vAlign w:val="top"/>
          </w:tcPr>
          <w:p>
            <w:r>
              <w:t>Priya Noland executive escalation.</w:t>
            </w:r>
          </w:p>
        </w:tc>
        <w:tc>
          <w:tcPr>
            <w:tcW w:type="dxa" w:w="1958"/>
            <w:vAlign w:val="top"/>
          </w:tcPr>
          <w:p>
            <w:r>
              <w:t>2026-07-15</w:t>
            </w:r>
          </w:p>
        </w:tc>
      </w:tr>
    </w:tbl>
    <w:p>
      <w:pPr>
        <w:pStyle w:val="Heading1"/>
      </w:pPr>
      <w:r>
        <w:t>Review controls</w:t>
      </w:r>
    </w:p>
    <w:p>
      <w:r>
        <w:t>Rowan updates this register every Tuesday and in daily close-week status. A risk may close only when its evidence is recorded in the mutual action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Northstar Cloud internal working brief  •  Rowan Mercer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2F6BFF"/>
      </w:rPr>
      <w:t>NORTHSTAR CLOUD  |  ACCOUNT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B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1F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