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54"/>
        </w:rPr>
        <w:t>Account Alpha renewal proposal</w:t>
      </w:r>
    </w:p>
    <w:p>
      <w:pPr>
        <w:jc w:val="center"/>
      </w:pPr>
      <w:r>
        <w:rPr>
          <w:color w:val="475467"/>
          <w:sz w:val="26"/>
        </w:rPr>
        <w:t>A focused annual plan for dependable reporting, enablement, and measurable adoption.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Recommendation</w:t>
      </w:r>
    </w:p>
    <w:p>
      <w:r>
        <w:t>Approve the annual renewal at USD 248,000 by 2026-07-17. The proposed term protects continuity while centering a 12-week enablement plan.</w:t>
      </w:r>
    </w:p>
    <w:p>
      <w:pPr>
        <w:pStyle w:val="Heading1"/>
      </w:pPr>
      <w:r>
        <w:t>Why this renewal</w:t>
      </w:r>
    </w:p>
    <w:p>
      <w:r>
        <w:t>Account Alpha needs a reliable operating rhythm for reporting, data connection, and adoption. This proposal combines Enterprise Platform, Success Plus, and Data Connect in one governed plan.</w:t>
      </w:r>
    </w:p>
    <w:p>
      <w:pPr>
        <w:pStyle w:val="Heading1"/>
      </w:pPr>
      <w:r>
        <w:t>Success outcomes</w:t>
      </w:r>
    </w:p>
    <w:p>
      <w:pPr>
        <w:pStyle w:val="ListBullet"/>
      </w:pPr>
      <w:r>
        <w:t>37% faster quarterly reporting as a scenario target, measured from current internal baseline.</w:t>
      </w:r>
    </w:p>
    <w:p>
      <w:pPr>
        <w:pStyle w:val="ListBullet"/>
      </w:pPr>
      <w:r>
        <w:t>A 99.95% service objective with transparent operational review.</w:t>
      </w:r>
    </w:p>
    <w:p>
      <w:pPr>
        <w:pStyle w:val="ListBullet"/>
      </w:pPr>
      <w:r>
        <w:t>A 12-week enablement sequence that prepares named owners for steady-state.</w:t>
      </w:r>
    </w:p>
    <w:p>
      <w:pPr>
        <w:pStyle w:val="Heading1"/>
      </w:pPr>
      <w:r>
        <w:t>Commercial structure</w:t>
      </w:r>
    </w:p>
    <w:p>
      <w:r>
        <w:t>The approved annual total is USD 248,000 for the term 2026-07-18 to 2027-07-17.</w:t>
      </w:r>
    </w:p>
    <w:p>
      <w:pPr>
        <w:pStyle w:val="Heading1"/>
      </w:pPr>
      <w:r>
        <w:t>Annual investment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624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Annual renewal configuration</w:t>
            </w:r>
          </w:p>
        </w:tc>
        <w:tc>
          <w:tcPr>
            <w:tcW w:type="dxa" w:w="2592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Annual fee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Enterprise Platform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210,000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Success Plus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24,000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Data Connect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14,000</w:t>
            </w:r>
          </w:p>
        </w:tc>
      </w:tr>
      <w:tr>
        <w:tc>
          <w:tcPr>
            <w:tcW w:type="dxa" w:w="4939"/>
            <w:shd w:fill="DFF5E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Approved annual total</w:t>
            </w:r>
          </w:p>
        </w:tc>
        <w:tc>
          <w:tcPr>
            <w:tcW w:type="dxa" w:w="4939"/>
            <w:shd w:fill="DFF5E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USD 248,000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