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8A999"/>
          <w:sz w:val="24"/>
        </w:rPr>
        <w:t>NORTHSTAR CLOUD</w:t>
      </w:r>
    </w:p>
    <w:p>
      <w:pPr>
        <w:spacing w:after="120"/>
        <w:jc w:val="center"/>
      </w:pPr>
      <w:r>
        <w:rPr>
          <w:rFonts w:ascii="Aptos Display" w:hAnsi="Aptos Display"/>
          <w:b/>
          <w:color w:val="0B1F3A"/>
          <w:sz w:val="54"/>
        </w:rPr>
        <w:t>Value case narrative</w:t>
      </w:r>
    </w:p>
    <w:p>
      <w:pPr>
        <w:jc w:val="center"/>
      </w:pPr>
      <w:r>
        <w:rPr>
          <w:color w:val="475467"/>
          <w:sz w:val="26"/>
        </w:rPr>
        <w:t>A decision narrative anchored in operating outcomes.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</w:tr>
      <w:tr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Account Alpha</w:t>
            </w:r>
          </w:p>
        </w:tc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2026-07-18 to 2027-07-17</w:t>
            </w:r>
          </w:p>
        </w:tc>
      </w:tr>
    </w:tbl>
    <w:p>
      <w:pPr>
        <w:pStyle w:val="Heading1"/>
      </w:pPr>
      <w:r>
        <w:t>The current decision</w:t>
      </w:r>
    </w:p>
    <w:p>
      <w:r>
        <w:t>The renewal decision is about more than continuity: it is the chance to convert platform access into a visible reporting rhythm.</w:t>
      </w:r>
    </w:p>
    <w:p>
      <w:pPr>
        <w:pStyle w:val="Heading1"/>
      </w:pPr>
      <w:r>
        <w:t>How value is expected to appear</w:t>
      </w:r>
    </w:p>
    <w:p>
      <w:r>
        <w:t>The internal scenario uses a 37% faster quarterly reporting target, a 99.95% service objective, and a 12-week enablement sequence. These are planning estimates, not external benchmarks or guaranteed outcomes.</w:t>
      </w:r>
    </w:p>
    <w:p>
      <w:pPr>
        <w:pStyle w:val="Heading1"/>
      </w:pPr>
      <w:r>
        <w:t>How we will govern it</w:t>
      </w:r>
    </w:p>
    <w:p>
      <w:r>
        <w:t>Rowan Mercer convenes executive checkpoints; Priya Noland owns adoption evidence; Elliot Park owns solution integrity; Avery Sloan owns delivery rhythm; Morgan Hale coordinates commercial readiness.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>Synthetic internal scenario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F6BFF"/>
        <w:sz w:val="16"/>
      </w:rPr>
      <w:t>NORTHSTAR CLOUD  /  ACCOUNT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