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42"/>
        </w:rPr>
        <w:t>Commercial options summary</w:t>
      </w:r>
    </w:p>
    <w:p>
      <w:pPr>
        <w:jc w:val="center"/>
      </w:pPr>
      <w:r>
        <w:rPr>
          <w:color w:val="475467"/>
          <w:sz w:val="26"/>
        </w:rPr>
        <w:t>One approved configuration, with a clear decision path.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Recommended configuration</w:t>
      </w:r>
    </w:p>
    <w:p>
      <w:r>
        <w:t>Approve the integrated annual configuration below. The package is designed to align platform capacity, success coverage, and data connectivity without fragmented ownership.</w:t>
      </w:r>
    </w:p>
    <w:p>
      <w:pPr>
        <w:pStyle w:val="Heading1"/>
      </w:pPr>
      <w:r>
        <w:t>Decision mechanics</w:t>
      </w:r>
    </w:p>
    <w:p>
      <w:r>
        <w:t>Confirm approval by 2026-07-17 for a term beginning 2026-07-18. Morgan Hale can coordinate the commercial review with Rowan Mercer.</w:t>
      </w:r>
    </w:p>
    <w:p>
      <w:pPr>
        <w:pStyle w:val="Heading1"/>
      </w:pPr>
      <w:r>
        <w:t>Planning note</w:t>
      </w:r>
    </w:p>
    <w:p>
      <w:r>
        <w:t>Amounts are synthetic internal scenario figures in USD and should be treated as proposal planning data only.</w:t>
      </w:r>
    </w:p>
    <w:p>
      <w:pPr>
        <w:pStyle w:val="Heading1"/>
      </w:pPr>
      <w:r>
        <w:t>Annual investment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624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Annual renewal configuration</w:t>
            </w:r>
          </w:p>
        </w:tc>
        <w:tc>
          <w:tcPr>
            <w:tcW w:type="dxa" w:w="2592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Annual fee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Enterprise Platform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210,000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Success Plus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24,000</w:t>
            </w:r>
          </w:p>
        </w:tc>
      </w:tr>
      <w:tr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Data Connect</w:t>
            </w:r>
          </w:p>
        </w:tc>
        <w:tc>
          <w:tcPr>
            <w:tcW w:type="dxa" w:w="4939"/>
            <w:shd w:fill="FFFF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0B1F3A"/>
                <w:sz w:val="18"/>
              </w:rPr>
              <w:t>USD 14,000</w:t>
            </w:r>
          </w:p>
        </w:tc>
      </w:tr>
      <w:tr>
        <w:tc>
          <w:tcPr>
            <w:tcW w:type="dxa" w:w="4939"/>
            <w:shd w:fill="DFF5E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Approved annual total</w:t>
            </w:r>
          </w:p>
        </w:tc>
        <w:tc>
          <w:tcPr>
            <w:tcW w:type="dxa" w:w="4939"/>
            <w:shd w:fill="DFF5E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USD 248,000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