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 Beta stakeholder plan</w:t>
      </w:r>
    </w:p>
    <w:p>
      <w:r>
        <w:rPr>
          <w:color w:val="52606D"/>
        </w:rPr>
        <w:t>Customer pack | Renewal target 2026-09-30 | Planning amount USD 186,000 not yet approved</w:t>
      </w:r>
    </w:p>
    <w:p>
      <w:pPr>
        <w:pStyle w:val="Heading1"/>
      </w:pPr>
      <w:r>
        <w:t>Stakeholder map</w:t>
      </w:r>
    </w:p>
    <w:p>
      <w:r>
        <w:t>The plan keeps executive sponsorship and procurement process distinct while connecting both to adoption evidence.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F4F6F8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Stakeholder</w:t>
            </w:r>
          </w:p>
        </w:tc>
        <w:tc>
          <w:tcPr>
            <w:tcW w:type="dxa" w:w="2340"/>
            <w:vAlign w:val="top"/>
            <w:shd w:fill="F4F6F8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Role</w:t>
            </w:r>
          </w:p>
        </w:tc>
        <w:tc>
          <w:tcPr>
            <w:tcW w:type="dxa" w:w="2340"/>
            <w:vAlign w:val="top"/>
            <w:shd w:fill="F4F6F8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Engagement</w:t>
            </w:r>
          </w:p>
        </w:tc>
        <w:tc>
          <w:tcPr>
            <w:tcW w:type="dxa" w:w="2340"/>
            <w:vAlign w:val="top"/>
            <w:shd w:fill="F4F6F8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Next step</w:t>
            </w:r>
          </w:p>
        </w:tc>
      </w:tr>
      <w:tr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Dana Quill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VP Operations / executive sponsor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Biweekly value review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Confirm success narrative by 2026-08-14</w:t>
            </w:r>
          </w:p>
        </w:tc>
      </w:tr>
      <w:tr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Cameron Vale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Procurement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Commercial process owner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Confirm required documents by 2026-08-28</w:t>
            </w:r>
          </w:p>
        </w:tc>
      </w:tr>
      <w:tr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Rowan Mercer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Northstar AE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Account lead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Coordinate decision path</w:t>
            </w:r>
          </w:p>
        </w:tc>
      </w:tr>
      <w:tr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Priya Noland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Northstar success lead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Adoption owner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Lead scorecard review</w:t>
            </w:r>
          </w:p>
        </w:tc>
      </w:tr>
    </w:tbl>
    <w:p>
      <w:pPr>
        <w:pStyle w:val="Heading1"/>
      </w:pPr>
      <w:r>
        <w:t>Engagement principles</w:t>
      </w:r>
    </w:p>
    <w:p>
      <w:r>
        <w:t>Bring only decision-ready material to Dana; route commercial documentation through Cameron after sponsor alignment.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F4F6F8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Signal</w:t>
            </w:r>
          </w:p>
        </w:tc>
        <w:tc>
          <w:tcPr>
            <w:tcW w:type="dxa" w:w="3120"/>
            <w:vAlign w:val="top"/>
            <w:shd w:fill="F4F6F8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Response</w:t>
            </w:r>
          </w:p>
        </w:tc>
        <w:tc>
          <w:tcPr>
            <w:tcW w:type="dxa" w:w="3120"/>
            <w:vAlign w:val="top"/>
            <w:shd w:fill="F4F6F8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Owner</w:t>
            </w:r>
          </w:p>
        </w:tc>
      </w:tr>
      <w:tr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Usage below 85%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Schedule enablement clinic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Priya</w:t>
            </w:r>
          </w:p>
        </w:tc>
      </w:tr>
      <w:tr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Sponsor question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Provide operational proof point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Rowan</w:t>
            </w:r>
          </w:p>
        </w:tc>
      </w:tr>
      <w:tr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Procurement delay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Confirm timeline and dependencies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Rowan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Internal planning | Rowan Mercer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B1F3A"/>
      </w:rPr>
      <w:t>NORTHSTAR CLOUD  |  ACCOUNT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F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6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F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