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A999"/>
          <w:sz w:val="22"/>
        </w:rPr>
        <w:t>NORTHSTAR CLOUD</w:t>
      </w:r>
    </w:p>
    <w:p>
      <w:pPr>
        <w:pStyle w:val="Title"/>
        <w:jc w:val="center"/>
      </w:pPr>
      <w:r>
        <w:t>Account Beta proposal narrative</w:t>
      </w:r>
    </w:p>
    <w:p>
      <w:pPr>
        <w:jc w:val="center"/>
      </w:pPr>
      <w:r>
        <w:rPr>
          <w:color w:val="566579"/>
          <w:sz w:val="24"/>
        </w:rPr>
        <w:t>A measured path to simplify operational workflows</w:t>
      </w:r>
    </w:p>
    <w:p>
      <w:r>
        <w:t>Prepared for Dana Quill, VP Operations, with procurement coordination by Cameron Vale. Prepared by Rowan Mercer, Account Executive, with Priya Noland and Elliot Park. This customer-ready proposal is a synthetic internal scenario and is not an approved offer.</w:t>
      </w:r>
    </w:p>
    <w:p>
      <w:pPr>
        <w:pStyle w:val="Heading1"/>
      </w:pPr>
      <w:r>
        <w:t>Executive intent</w:t>
      </w:r>
    </w:p>
    <w:p>
      <w:r>
        <w:t>Northstar Cloud proposes a staged operations program that begins with a jointly validated baseline and focuses on practical workflow simplification. The planning target is 30 September 2026; the planning amount is USD 186,000 for 1 October 2026 through 30 September 2027, subject to approval.</w:t>
      </w:r>
    </w:p>
    <w:p>
      <w:pPr>
        <w:pStyle w:val="Heading1"/>
      </w:pPr>
      <w:r>
        <w:t>Value hypothesis</w:t>
      </w:r>
    </w:p>
    <w:p>
      <w:r>
        <w:t>The working hypothesis is a 25% reduction in avoidable workflow effort across selected operations processes. This is an internal scenario estimate, to be validated during discovery rather than treated as a guaranteed result.</w:t>
      </w:r>
    </w:p>
    <w:p>
      <w:pPr>
        <w:pStyle w:val="ListBullet"/>
      </w:pPr>
      <w:r>
        <w:t>Map the highest-friction handoffs and exception paths.</w:t>
      </w:r>
    </w:p>
    <w:p>
      <w:pPr>
        <w:pStyle w:val="ListBullet"/>
      </w:pPr>
      <w:r>
        <w:t>Design a pilot with accountable owners and observable measures.</w:t>
      </w:r>
    </w:p>
    <w:p>
      <w:pPr>
        <w:pStyle w:val="ListBullet"/>
      </w:pPr>
      <w:r>
        <w:t>Enable the operating team through a 10-week onboarding sequence.</w:t>
      </w:r>
    </w:p>
    <w:p>
      <w:pPr>
        <w:pStyle w:val="Heading1"/>
      </w:pPr>
      <w:r>
        <w:t>Proposed operating rhythm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5616"/>
        <w:gridCol w:w="2016"/>
      </w:tblGrid>
      <w:tr>
        <w:tc>
          <w:tcPr>
            <w:tcW w:type="dxa" w:w="312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Phase</w:t>
            </w:r>
          </w:p>
        </w:tc>
        <w:tc>
          <w:tcPr>
            <w:tcW w:type="dxa" w:w="312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Purpose</w:t>
            </w:r>
          </w:p>
        </w:tc>
        <w:tc>
          <w:tcPr>
            <w:tcW w:type="dxa" w:w="3120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1F3A"/>
                <w:sz w:val="19"/>
              </w:rPr>
              <w:t>Illustrative timing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Align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Confirm sponsors, baseline, and success measures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Weeks 1-2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Design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Configure pilot workflow and governance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Weeks 3-5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Pilot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Run measured use cases and review results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Weeks 6-8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Enable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Transfer operating rhythm and plan next phase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D3F"/>
                <w:sz w:val="19"/>
              </w:rPr>
              <w:t>Weeks 9-10</w:t>
            </w:r>
          </w:p>
        </w:tc>
      </w:tr>
    </w:tbl>
    <w:p>
      <w:r>
        <w:rPr>
          <w:sz w:val="16"/>
        </w:rPr>
        <w:t>Synthetic internal scenario; no external sources.</w:t>
      </w:r>
    </w:p>
    <w:p>
      <w:pPr>
        <w:pStyle w:val="Heading1"/>
      </w:pPr>
      <w:r>
        <w:t>Decision and commercial context</w:t>
      </w:r>
    </w:p>
    <w:p>
      <w:r>
        <w:t>We recommend authorizing a scoped pilot path while maintaining a decision gate before broader commitment. Account Alpha is a separate comparison anchor only: approved USD 248,000 on 17 July 2026. It does not set Account Beta pricing, scope, approval status, or timing.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internal scenario | .example.test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6579"/>
        <w:sz w:val="16"/>
      </w:rPr>
      <w:t>NORTHSTAR CLOUD | ACCOUNT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