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D78"/>
          <w:sz w:val="20"/>
        </w:rPr>
        <w:t>CONTRACT NEGOTIATION BRIEF</w:t>
      </w:r>
    </w:p>
    <w:p>
      <w:pPr>
        <w:spacing w:after="80"/>
      </w:pPr>
      <w:r>
        <w:rPr>
          <w:rFonts w:ascii="Calibri" w:hAnsi="Calibri"/>
          <w:b/>
          <w:color w:val="0B2545"/>
          <w:sz w:val="46"/>
        </w:rPr>
        <w:t>Order Form Draft</w:t>
      </w:r>
    </w:p>
    <w:p>
      <w:pPr>
        <w:spacing w:after="280"/>
      </w:pPr>
      <w:r>
        <w:rPr>
          <w:rFonts w:ascii="Calibri" w:hAnsi="Calibri"/>
          <w:color w:val="666666"/>
          <w:sz w:val="24"/>
        </w:rPr>
        <w:t>Northstar Cloud / Account Alpha - synthetic and unsigned</w:t>
      </w:r>
    </w:p>
    <w:p>
      <w:pPr>
        <w:spacing w:after="40"/>
      </w:pPr>
      <w:r>
        <w:rPr>
          <w:rFonts w:ascii="Calibri" w:hAnsi="Calibri"/>
          <w:b/>
          <w:color w:val="000000"/>
          <w:sz w:val="20"/>
        </w:rPr>
        <w:t xml:space="preserve">Matter: </w:t>
      </w:r>
      <w:r>
        <w:rPr>
          <w:rFonts w:ascii="Calibri" w:hAnsi="Calibri"/>
          <w:color w:val="000000"/>
          <w:sz w:val="20"/>
        </w:rPr>
        <w:t>Northstar Cloud / Account Alpha</w:t>
      </w:r>
    </w:p>
    <w:p>
      <w:pPr>
        <w:spacing w:after="40"/>
      </w:pPr>
      <w:r>
        <w:rPr>
          <w:rFonts w:ascii="Calibri" w:hAnsi="Calibri"/>
          <w:b/>
          <w:color w:val="000000"/>
          <w:sz w:val="20"/>
        </w:rPr>
        <w:t xml:space="preserve">Decision date: </w:t>
      </w:r>
      <w:r>
        <w:rPr>
          <w:rFonts w:ascii="Calibri" w:hAnsi="Calibri"/>
          <w:color w:val="000000"/>
          <w:sz w:val="20"/>
        </w:rPr>
        <w:t>2026-07-17</w:t>
      </w:r>
    </w:p>
    <w:p>
      <w:pPr>
        <w:spacing w:after="40"/>
      </w:pPr>
      <w:r>
        <w:rPr>
          <w:rFonts w:ascii="Calibri" w:hAnsi="Calibri"/>
          <w:b/>
          <w:color w:val="000000"/>
          <w:sz w:val="20"/>
        </w:rPr>
        <w:t xml:space="preserve">Status: </w:t>
      </w:r>
      <w:r>
        <w:rPr>
          <w:rFonts w:ascii="Calibri" w:hAnsi="Calibri"/>
          <w:color w:val="000000"/>
          <w:sz w:val="20"/>
        </w:rPr>
        <w:t>Synthetic draft - unsigned and non-binding</w:t>
      </w:r>
    </w:p>
    <w:p>
      <w:pPr>
        <w:pStyle w:val="Heading1"/>
      </w:pPr>
      <w:r>
        <w:t>Order details</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vAlign w:val="center"/>
            <w:tcMar>
              <w:top w:w="80" w:type="dxa"/>
              <w:start w:w="120" w:type="dxa"/>
              <w:bottom w:w="80" w:type="dxa"/>
              <w:end w:w="120" w:type="dxa"/>
            </w:tcMar>
            <w:shd w:fill="E8EEF5"/>
          </w:tcPr>
          <w:p>
            <w:r/>
            <w:r>
              <w:rPr>
                <w:rFonts w:ascii="Calibri" w:hAnsi="Calibri"/>
                <w:b/>
                <w:color w:val="1F4D78"/>
                <w:sz w:val="20"/>
              </w:rPr>
              <w:t>Customer</w:t>
            </w:r>
          </w:p>
        </w:tc>
        <w:tc>
          <w:tcPr>
            <w:tcW w:type="dxa" w:w="7660"/>
            <w:vAlign w:val="center"/>
            <w:tcMar>
              <w:top w:w="80" w:type="dxa"/>
              <w:start w:w="120" w:type="dxa"/>
              <w:bottom w:w="80" w:type="dxa"/>
              <w:end w:w="120" w:type="dxa"/>
            </w:tcMar>
          </w:tcPr>
          <w:p>
            <w:r/>
            <w:r>
              <w:rPr>
                <w:rFonts w:ascii="Calibri" w:hAnsi="Calibri"/>
                <w:color w:val="000000"/>
                <w:sz w:val="20"/>
              </w:rPr>
              <w:t>Account Alpha (fictional counterparty)</w:t>
            </w:r>
          </w:p>
        </w:tc>
      </w:tr>
      <w:tr>
        <w:tc>
          <w:tcPr>
            <w:tcW w:type="dxa" w:w="1700"/>
            <w:vAlign w:val="center"/>
            <w:tcMar>
              <w:top w:w="80" w:type="dxa"/>
              <w:start w:w="120" w:type="dxa"/>
              <w:bottom w:w="80" w:type="dxa"/>
              <w:end w:w="120" w:type="dxa"/>
            </w:tcMar>
            <w:shd w:fill="E8EEF5"/>
          </w:tcPr>
          <w:p>
            <w:r/>
            <w:r>
              <w:rPr>
                <w:rFonts w:ascii="Calibri" w:hAnsi="Calibri"/>
                <w:b/>
                <w:color w:val="1F4D78"/>
                <w:sz w:val="20"/>
              </w:rPr>
              <w:t>Effective date</w:t>
            </w:r>
          </w:p>
        </w:tc>
        <w:tc>
          <w:tcPr>
            <w:tcW w:type="dxa" w:w="7660"/>
            <w:vAlign w:val="center"/>
            <w:tcMar>
              <w:top w:w="80" w:type="dxa"/>
              <w:start w:w="120" w:type="dxa"/>
              <w:bottom w:w="80" w:type="dxa"/>
              <w:end w:w="120" w:type="dxa"/>
            </w:tcMar>
          </w:tcPr>
          <w:p>
            <w:r/>
            <w:r>
              <w:rPr>
                <w:rFonts w:ascii="Calibri" w:hAnsi="Calibri"/>
                <w:color w:val="000000"/>
                <w:sz w:val="20"/>
              </w:rPr>
              <w:t>2026-07-18, subject to execution of definitive documents</w:t>
            </w:r>
          </w:p>
        </w:tc>
      </w:tr>
      <w:tr>
        <w:tc>
          <w:tcPr>
            <w:tcW w:type="dxa" w:w="1700"/>
            <w:vAlign w:val="center"/>
            <w:tcMar>
              <w:top w:w="80" w:type="dxa"/>
              <w:start w:w="120" w:type="dxa"/>
              <w:bottom w:w="80" w:type="dxa"/>
              <w:end w:w="120" w:type="dxa"/>
            </w:tcMar>
            <w:shd w:fill="E8EEF5"/>
          </w:tcPr>
          <w:p>
            <w:r/>
            <w:r>
              <w:rPr>
                <w:rFonts w:ascii="Calibri" w:hAnsi="Calibri"/>
                <w:b/>
                <w:color w:val="1F4D78"/>
                <w:sz w:val="20"/>
              </w:rPr>
              <w:t>Service period</w:t>
            </w:r>
          </w:p>
        </w:tc>
        <w:tc>
          <w:tcPr>
            <w:tcW w:type="dxa" w:w="7660"/>
            <w:vAlign w:val="center"/>
            <w:tcMar>
              <w:top w:w="80" w:type="dxa"/>
              <w:start w:w="120" w:type="dxa"/>
              <w:bottom w:w="80" w:type="dxa"/>
              <w:end w:w="120" w:type="dxa"/>
            </w:tcMar>
          </w:tcPr>
          <w:p>
            <w:r/>
            <w:r>
              <w:rPr>
                <w:rFonts w:ascii="Calibri" w:hAnsi="Calibri"/>
                <w:color w:val="000000"/>
                <w:sz w:val="20"/>
              </w:rPr>
              <w:t>2026-07-18 through 2027-07-17</w:t>
            </w:r>
          </w:p>
        </w:tc>
      </w:tr>
      <w:tr>
        <w:tc>
          <w:tcPr>
            <w:tcW w:type="dxa" w:w="1700"/>
            <w:vAlign w:val="center"/>
            <w:tcMar>
              <w:top w:w="80" w:type="dxa"/>
              <w:start w:w="120" w:type="dxa"/>
              <w:bottom w:w="80" w:type="dxa"/>
              <w:end w:w="120" w:type="dxa"/>
            </w:tcMar>
            <w:shd w:fill="E8EEF5"/>
          </w:tcPr>
          <w:p>
            <w:r/>
            <w:r>
              <w:rPr>
                <w:rFonts w:ascii="Calibri" w:hAnsi="Calibri"/>
                <w:b/>
                <w:color w:val="1F4D78"/>
                <w:sz w:val="20"/>
              </w:rPr>
              <w:t>Total annual fees</w:t>
            </w:r>
          </w:p>
        </w:tc>
        <w:tc>
          <w:tcPr>
            <w:tcW w:type="dxa" w:w="7660"/>
            <w:vAlign w:val="center"/>
            <w:tcMar>
              <w:top w:w="80" w:type="dxa"/>
              <w:start w:w="120" w:type="dxa"/>
              <w:bottom w:w="80" w:type="dxa"/>
              <w:end w:w="120" w:type="dxa"/>
            </w:tcMar>
          </w:tcPr>
          <w:p>
            <w:r/>
            <w:r>
              <w:rPr>
                <w:rFonts w:ascii="Calibri" w:hAnsi="Calibri"/>
                <w:color w:val="000000"/>
                <w:sz w:val="20"/>
              </w:rPr>
              <w:t>USD 248,000</w:t>
            </w:r>
          </w:p>
        </w:tc>
      </w:tr>
      <w:tr>
        <w:tc>
          <w:tcPr>
            <w:tcW w:type="dxa" w:w="1700"/>
            <w:vAlign w:val="center"/>
            <w:tcMar>
              <w:top w:w="80" w:type="dxa"/>
              <w:start w:w="120" w:type="dxa"/>
              <w:bottom w:w="80" w:type="dxa"/>
              <w:end w:w="120" w:type="dxa"/>
            </w:tcMar>
            <w:shd w:fill="E8EEF5"/>
          </w:tcPr>
          <w:p>
            <w:r/>
            <w:r>
              <w:rPr>
                <w:rFonts w:ascii="Calibri" w:hAnsi="Calibri"/>
                <w:b/>
                <w:color w:val="1F4D78"/>
                <w:sz w:val="20"/>
              </w:rPr>
              <w:t>Invoice and payment</w:t>
            </w:r>
          </w:p>
        </w:tc>
        <w:tc>
          <w:tcPr>
            <w:tcW w:type="dxa" w:w="7660"/>
            <w:vAlign w:val="center"/>
            <w:tcMar>
              <w:top w:w="80" w:type="dxa"/>
              <w:start w:w="120" w:type="dxa"/>
              <w:bottom w:w="80" w:type="dxa"/>
              <w:end w:w="120" w:type="dxa"/>
            </w:tcMar>
          </w:tcPr>
          <w:p>
            <w:r/>
            <w:r>
              <w:rPr>
                <w:rFonts w:ascii="Calibri" w:hAnsi="Calibri"/>
                <w:color w:val="000000"/>
                <w:sz w:val="20"/>
              </w:rPr>
              <w:t>Annual invoice in advance; net 30 for undisputed amounts</w:t>
            </w:r>
          </w:p>
        </w:tc>
      </w:tr>
      <w:tr>
        <w:tc>
          <w:tcPr>
            <w:tcW w:type="dxa" w:w="1700"/>
            <w:vAlign w:val="center"/>
            <w:tcMar>
              <w:top w:w="80" w:type="dxa"/>
              <w:start w:w="120" w:type="dxa"/>
              <w:bottom w:w="80" w:type="dxa"/>
              <w:end w:w="120" w:type="dxa"/>
            </w:tcMar>
            <w:shd w:fill="E8EEF5"/>
          </w:tcPr>
          <w:p>
            <w:r/>
            <w:r>
              <w:rPr>
                <w:rFonts w:ascii="Calibri" w:hAnsi="Calibri"/>
                <w:b/>
                <w:color w:val="1F4D78"/>
                <w:sz w:val="20"/>
              </w:rPr>
              <w:t>Notice contacts</w:t>
            </w:r>
          </w:p>
        </w:tc>
        <w:tc>
          <w:tcPr>
            <w:tcW w:type="dxa" w:w="7660"/>
            <w:vAlign w:val="center"/>
            <w:tcMar>
              <w:top w:w="80" w:type="dxa"/>
              <w:start w:w="120" w:type="dxa"/>
              <w:bottom w:w="80" w:type="dxa"/>
              <w:end w:w="120" w:type="dxa"/>
            </w:tcMar>
          </w:tcPr>
          <w:p>
            <w:r/>
            <w:r>
              <w:rPr>
                <w:rFonts w:ascii="Calibri" w:hAnsi="Calibri"/>
                <w:color w:val="000000"/>
                <w:sz w:val="20"/>
              </w:rPr>
              <w:t>Rowan Mercer and Priya Noland via .example.test draft addresses</w:t>
            </w:r>
          </w:p>
        </w:tc>
      </w:tr>
    </w:tbl>
    <w:p>
      <w:pPr>
        <w:pStyle w:val="Heading1"/>
      </w:pPr>
      <w:r>
        <w:t>Subscribed services</w:t>
      </w:r>
    </w:p>
    <w:tbl>
      <w:tblPr>
        <w:tblStyle w:val="TableGrid"/>
        <w:tblW w:type="dxa" w:w="9360"/>
        <w:jc w:val="left"/>
        <w:tblLayout w:type="fixed"/>
        <w:tblLook w:firstColumn="1" w:firstRow="1" w:lastColumn="0" w:lastRow="0" w:noHBand="0" w:noVBand="1" w:val="04A0"/>
        <w:tblInd w:w="120" w:type="dxa"/>
      </w:tblPr>
      <w:tblGrid>
        <w:gridCol w:w="1900"/>
        <w:gridCol w:w="3900"/>
        <w:gridCol w:w="3560"/>
      </w:tblGrid>
      <w:tr>
        <w:tc>
          <w:tcPr>
            <w:tcW w:type="dxa" w:w="1900"/>
            <w:vAlign w:val="center"/>
            <w:tcMar>
              <w:top w:w="80" w:type="dxa"/>
              <w:start w:w="120" w:type="dxa"/>
              <w:bottom w:w="80" w:type="dxa"/>
              <w:end w:w="120" w:type="dxa"/>
            </w:tcMar>
            <w:shd w:fill="E8EEF5"/>
          </w:tcPr>
          <w:p>
            <w:r/>
            <w:r>
              <w:rPr>
                <w:rFonts w:ascii="Calibri" w:hAnsi="Calibri"/>
                <w:b/>
                <w:color w:val="1F4D78"/>
                <w:sz w:val="20"/>
              </w:rPr>
              <w:t>Topic</w:t>
            </w:r>
          </w:p>
        </w:tc>
        <w:tc>
          <w:tcPr>
            <w:tcW w:type="dxa" w:w="3900"/>
            <w:vAlign w:val="center"/>
            <w:tcMar>
              <w:top w:w="80" w:type="dxa"/>
              <w:start w:w="120" w:type="dxa"/>
              <w:bottom w:w="80" w:type="dxa"/>
              <w:end w:w="120" w:type="dxa"/>
            </w:tcMar>
            <w:shd w:fill="E8EEF5"/>
          </w:tcPr>
          <w:p>
            <w:r/>
            <w:r>
              <w:rPr>
                <w:rFonts w:ascii="Calibri" w:hAnsi="Calibri"/>
                <w:b/>
                <w:color w:val="1F4D78"/>
                <w:sz w:val="20"/>
              </w:rPr>
              <w:t>Working position</w:t>
            </w:r>
          </w:p>
        </w:tc>
        <w:tc>
          <w:tcPr>
            <w:tcW w:type="dxa" w:w="3560"/>
            <w:vAlign w:val="center"/>
            <w:tcMar>
              <w:top w:w="80" w:type="dxa"/>
              <w:start w:w="120" w:type="dxa"/>
              <w:bottom w:w="80" w:type="dxa"/>
              <w:end w:w="120" w:type="dxa"/>
            </w:tcMar>
            <w:shd w:fill="E8EEF5"/>
          </w:tcPr>
          <w:p>
            <w:r/>
            <w:r>
              <w:rPr>
                <w:rFonts w:ascii="Calibri" w:hAnsi="Calibri"/>
                <w:b/>
                <w:color w:val="1F4D78"/>
                <w:sz w:val="20"/>
              </w:rPr>
              <w:t>Fallback / open point</w:t>
            </w:r>
          </w:p>
        </w:tc>
      </w:tr>
      <w:tr>
        <w:tc>
          <w:tcPr>
            <w:tcW w:type="dxa" w:w="1900"/>
            <w:vAlign w:val="center"/>
            <w:tcMar>
              <w:top w:w="80" w:type="dxa"/>
              <w:start w:w="120" w:type="dxa"/>
              <w:bottom w:w="80" w:type="dxa"/>
              <w:end w:w="120" w:type="dxa"/>
            </w:tcMar>
          </w:tcPr>
          <w:p>
            <w:r/>
            <w:r>
              <w:rPr>
                <w:rFonts w:ascii="Calibri" w:hAnsi="Calibri"/>
                <w:color w:val="000000"/>
                <w:sz w:val="18"/>
              </w:rPr>
              <w:t>Enterprise</w:t>
            </w:r>
          </w:p>
        </w:tc>
        <w:tc>
          <w:tcPr>
            <w:tcW w:type="dxa" w:w="3900"/>
            <w:vAlign w:val="center"/>
            <w:tcMar>
              <w:top w:w="80" w:type="dxa"/>
              <w:start w:w="120" w:type="dxa"/>
              <w:bottom w:w="80" w:type="dxa"/>
              <w:end w:w="120" w:type="dxa"/>
            </w:tcMar>
          </w:tcPr>
          <w:p>
            <w:r/>
            <w:r>
              <w:rPr>
                <w:rFonts w:ascii="Calibri" w:hAnsi="Calibri"/>
                <w:color w:val="000000"/>
                <w:sz w:val="18"/>
              </w:rPr>
              <w:t>USD 210,000 annually</w:t>
            </w:r>
          </w:p>
        </w:tc>
        <w:tc>
          <w:tcPr>
            <w:tcW w:type="dxa" w:w="3560"/>
            <w:vAlign w:val="center"/>
            <w:tcMar>
              <w:top w:w="80" w:type="dxa"/>
              <w:start w:w="120" w:type="dxa"/>
              <w:bottom w:w="80" w:type="dxa"/>
              <w:end w:w="120" w:type="dxa"/>
            </w:tcMar>
          </w:tcPr>
          <w:p>
            <w:r/>
            <w:r>
              <w:rPr>
                <w:rFonts w:ascii="Calibri" w:hAnsi="Calibri"/>
                <w:color w:val="000000"/>
                <w:sz w:val="18"/>
              </w:rPr>
              <w:t>Core hosted service; 99.9% monthly service objective.</w:t>
            </w:r>
          </w:p>
        </w:tc>
      </w:tr>
      <w:tr>
        <w:tc>
          <w:tcPr>
            <w:tcW w:type="dxa" w:w="1900"/>
            <w:vAlign w:val="center"/>
            <w:tcMar>
              <w:top w:w="80" w:type="dxa"/>
              <w:start w:w="120" w:type="dxa"/>
              <w:bottom w:w="80" w:type="dxa"/>
              <w:end w:w="120" w:type="dxa"/>
            </w:tcMar>
          </w:tcPr>
          <w:p>
            <w:r/>
            <w:r>
              <w:rPr>
                <w:rFonts w:ascii="Calibri" w:hAnsi="Calibri"/>
                <w:color w:val="000000"/>
                <w:sz w:val="18"/>
              </w:rPr>
              <w:t>Success Plus</w:t>
            </w:r>
          </w:p>
        </w:tc>
        <w:tc>
          <w:tcPr>
            <w:tcW w:type="dxa" w:w="3900"/>
            <w:vAlign w:val="center"/>
            <w:tcMar>
              <w:top w:w="80" w:type="dxa"/>
              <w:start w:w="120" w:type="dxa"/>
              <w:bottom w:w="80" w:type="dxa"/>
              <w:end w:w="120" w:type="dxa"/>
            </w:tcMar>
          </w:tcPr>
          <w:p>
            <w:r/>
            <w:r>
              <w:rPr>
                <w:rFonts w:ascii="Calibri" w:hAnsi="Calibri"/>
                <w:color w:val="000000"/>
                <w:sz w:val="18"/>
              </w:rPr>
              <w:t>USD 24,000 annually</w:t>
            </w:r>
          </w:p>
        </w:tc>
        <w:tc>
          <w:tcPr>
            <w:tcW w:type="dxa" w:w="3560"/>
            <w:vAlign w:val="center"/>
            <w:tcMar>
              <w:top w:w="80" w:type="dxa"/>
              <w:start w:w="120" w:type="dxa"/>
              <w:bottom w:w="80" w:type="dxa"/>
              <w:end w:w="120" w:type="dxa"/>
            </w:tcMar>
          </w:tcPr>
          <w:p>
            <w:r/>
            <w:r>
              <w:rPr>
                <w:rFonts w:ascii="Calibri" w:hAnsi="Calibri"/>
                <w:color w:val="000000"/>
                <w:sz w:val="18"/>
              </w:rPr>
              <w:t>Success support package; scope to be confirmed in final order.</w:t>
            </w:r>
          </w:p>
        </w:tc>
      </w:tr>
      <w:tr>
        <w:tc>
          <w:tcPr>
            <w:tcW w:type="dxa" w:w="1900"/>
            <w:vAlign w:val="center"/>
            <w:tcMar>
              <w:top w:w="80" w:type="dxa"/>
              <w:start w:w="120" w:type="dxa"/>
              <w:bottom w:w="80" w:type="dxa"/>
              <w:end w:w="120" w:type="dxa"/>
            </w:tcMar>
          </w:tcPr>
          <w:p>
            <w:r/>
            <w:r>
              <w:rPr>
                <w:rFonts w:ascii="Calibri" w:hAnsi="Calibri"/>
                <w:color w:val="000000"/>
                <w:sz w:val="18"/>
              </w:rPr>
              <w:t>Data Connect</w:t>
            </w:r>
          </w:p>
        </w:tc>
        <w:tc>
          <w:tcPr>
            <w:tcW w:type="dxa" w:w="3900"/>
            <w:vAlign w:val="center"/>
            <w:tcMar>
              <w:top w:w="80" w:type="dxa"/>
              <w:start w:w="120" w:type="dxa"/>
              <w:bottom w:w="80" w:type="dxa"/>
              <w:end w:w="120" w:type="dxa"/>
            </w:tcMar>
          </w:tcPr>
          <w:p>
            <w:r/>
            <w:r>
              <w:rPr>
                <w:rFonts w:ascii="Calibri" w:hAnsi="Calibri"/>
                <w:color w:val="000000"/>
                <w:sz w:val="18"/>
              </w:rPr>
              <w:t>USD 14,000 annually</w:t>
            </w:r>
          </w:p>
        </w:tc>
        <w:tc>
          <w:tcPr>
            <w:tcW w:type="dxa" w:w="3560"/>
            <w:vAlign w:val="center"/>
            <w:tcMar>
              <w:top w:w="80" w:type="dxa"/>
              <w:start w:w="120" w:type="dxa"/>
              <w:bottom w:w="80" w:type="dxa"/>
              <w:end w:w="120" w:type="dxa"/>
            </w:tcMar>
          </w:tcPr>
          <w:p>
            <w:r/>
            <w:r>
              <w:rPr>
                <w:rFonts w:ascii="Calibri" w:hAnsi="Calibri"/>
                <w:color w:val="000000"/>
                <w:sz w:val="18"/>
              </w:rPr>
              <w:t>Data integration capability; subject to the DPA.</w:t>
            </w:r>
          </w:p>
        </w:tc>
      </w:tr>
    </w:tbl>
    <w:p>
      <w:r>
        <w:br w:type="page"/>
      </w:r>
    </w:p>
    <w:p>
      <w:pPr>
        <w:pStyle w:val="Heading1"/>
      </w:pPr>
      <w:r>
        <w:t>Order terms</w:t>
      </w:r>
    </w:p>
    <w:p>
      <w:r>
        <w:rPr>
          <w:rFonts w:ascii="Calibri" w:hAnsi="Calibri"/>
          <w:color w:val="000000"/>
          <w:sz w:val="22"/>
        </w:rPr>
        <w:t>This order form is a non-binding synthetic draft, not an offer or acceptance. The term renews annually unless either party gives 60 days written non-renewal notice (45 days is the fallback). For conflicts on the same subject, the DPA controls data handling, this order form controls commercial terms, and the base agreement controls remaining terms. Liability and data handling remain subject to the negotiation issues list.</w:t>
      </w:r>
    </w:p>
    <w:p>
      <w:pPr>
        <w:pStyle w:val="Heading1"/>
      </w:pPr>
      <w:r>
        <w:t>Execution conditions</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vAlign w:val="center"/>
            <w:tcMar>
              <w:top w:w="80" w:type="dxa"/>
              <w:start w:w="120" w:type="dxa"/>
              <w:bottom w:w="80" w:type="dxa"/>
              <w:end w:w="120" w:type="dxa"/>
            </w:tcMar>
            <w:shd w:fill="E8EEF5"/>
          </w:tcPr>
          <w:p>
            <w:r/>
            <w:r>
              <w:rPr>
                <w:rFonts w:ascii="Calibri" w:hAnsi="Calibri"/>
                <w:b/>
                <w:color w:val="1F4D78"/>
                <w:sz w:val="20"/>
              </w:rPr>
              <w:t>Commercial</w:t>
            </w:r>
          </w:p>
        </w:tc>
        <w:tc>
          <w:tcPr>
            <w:tcW w:type="dxa" w:w="7660"/>
            <w:vAlign w:val="center"/>
            <w:tcMar>
              <w:top w:w="80" w:type="dxa"/>
              <w:start w:w="120" w:type="dxa"/>
              <w:bottom w:w="80" w:type="dxa"/>
              <w:end w:w="120" w:type="dxa"/>
            </w:tcMar>
          </w:tcPr>
          <w:p>
            <w:r/>
            <w:r>
              <w:rPr>
                <w:rFonts w:ascii="Calibri" w:hAnsi="Calibri"/>
                <w:color w:val="000000"/>
                <w:sz w:val="20"/>
              </w:rPr>
              <w:t>USD 248,000 annual total; annual invoice in advance; net 30 for undisputed amounts.</w:t>
            </w:r>
          </w:p>
        </w:tc>
      </w:tr>
      <w:tr>
        <w:tc>
          <w:tcPr>
            <w:tcW w:type="dxa" w:w="1700"/>
            <w:vAlign w:val="center"/>
            <w:tcMar>
              <w:top w:w="80" w:type="dxa"/>
              <w:start w:w="120" w:type="dxa"/>
              <w:bottom w:w="80" w:type="dxa"/>
              <w:end w:w="120" w:type="dxa"/>
            </w:tcMar>
            <w:shd w:fill="E8EEF5"/>
          </w:tcPr>
          <w:p>
            <w:r/>
            <w:r>
              <w:rPr>
                <w:rFonts w:ascii="Calibri" w:hAnsi="Calibri"/>
                <w:b/>
                <w:color w:val="1F4D78"/>
                <w:sz w:val="20"/>
              </w:rPr>
              <w:t>Renewal</w:t>
            </w:r>
          </w:p>
        </w:tc>
        <w:tc>
          <w:tcPr>
            <w:tcW w:type="dxa" w:w="7660"/>
            <w:vAlign w:val="center"/>
            <w:tcMar>
              <w:top w:w="80" w:type="dxa"/>
              <w:start w:w="120" w:type="dxa"/>
              <w:bottom w:w="80" w:type="dxa"/>
              <w:end w:w="120" w:type="dxa"/>
            </w:tcMar>
          </w:tcPr>
          <w:p>
            <w:r/>
            <w:r>
              <w:rPr>
                <w:rFonts w:ascii="Calibri" w:hAnsi="Calibri"/>
                <w:color w:val="000000"/>
                <w:sz w:val="20"/>
              </w:rPr>
              <w:t>60-day written non-renewal notice; 45 days is the working fallback.</w:t>
            </w:r>
          </w:p>
        </w:tc>
      </w:tr>
      <w:tr>
        <w:tc>
          <w:tcPr>
            <w:tcW w:type="dxa" w:w="1700"/>
            <w:vAlign w:val="center"/>
            <w:tcMar>
              <w:top w:w="80" w:type="dxa"/>
              <w:start w:w="120" w:type="dxa"/>
              <w:bottom w:w="80" w:type="dxa"/>
              <w:end w:w="120" w:type="dxa"/>
            </w:tcMar>
            <w:shd w:fill="E8EEF5"/>
          </w:tcPr>
          <w:p>
            <w:r/>
            <w:r>
              <w:rPr>
                <w:rFonts w:ascii="Calibri" w:hAnsi="Calibri"/>
                <w:b/>
                <w:color w:val="1F4D78"/>
                <w:sz w:val="20"/>
              </w:rPr>
              <w:t>Data handling</w:t>
            </w:r>
          </w:p>
        </w:tc>
        <w:tc>
          <w:tcPr>
            <w:tcW w:type="dxa" w:w="7660"/>
            <w:vAlign w:val="center"/>
            <w:tcMar>
              <w:top w:w="80" w:type="dxa"/>
              <w:start w:w="120" w:type="dxa"/>
              <w:bottom w:w="80" w:type="dxa"/>
              <w:end w:w="120" w:type="dxa"/>
            </w:tcMar>
          </w:tcPr>
          <w:p>
            <w:r/>
            <w:r>
              <w:rPr>
                <w:rFonts w:ascii="Calibri" w:hAnsi="Calibri"/>
                <w:color w:val="000000"/>
                <w:sz w:val="20"/>
              </w:rPr>
              <w:t>Data Connect is subject to the DPA; subprocessors, deletion, incident, and audit language remain open.</w:t>
            </w:r>
          </w:p>
        </w:tc>
      </w:tr>
      <w:tr>
        <w:tc>
          <w:tcPr>
            <w:tcW w:type="dxa" w:w="1700"/>
            <w:vAlign w:val="center"/>
            <w:tcMar>
              <w:top w:w="80" w:type="dxa"/>
              <w:start w:w="120" w:type="dxa"/>
              <w:bottom w:w="80" w:type="dxa"/>
              <w:end w:w="120" w:type="dxa"/>
            </w:tcMar>
            <w:shd w:fill="E8EEF5"/>
          </w:tcPr>
          <w:p>
            <w:r/>
            <w:r>
              <w:rPr>
                <w:rFonts w:ascii="Calibri" w:hAnsi="Calibri"/>
                <w:b/>
                <w:color w:val="1F4D78"/>
                <w:sz w:val="20"/>
              </w:rPr>
              <w:t>Liability</w:t>
            </w:r>
          </w:p>
        </w:tc>
        <w:tc>
          <w:tcPr>
            <w:tcW w:type="dxa" w:w="7660"/>
            <w:vAlign w:val="center"/>
            <w:tcMar>
              <w:top w:w="80" w:type="dxa"/>
              <w:start w:w="120" w:type="dxa"/>
              <w:bottom w:w="80" w:type="dxa"/>
              <w:end w:w="120" w:type="dxa"/>
            </w:tcMar>
          </w:tcPr>
          <w:p>
            <w:r/>
            <w:r>
              <w:rPr>
                <w:rFonts w:ascii="Calibri" w:hAnsi="Calibri"/>
                <w:color w:val="000000"/>
                <w:sz w:val="20"/>
              </w:rPr>
              <w:t>Prior-12-month-fee cap; fallback one times annual fees for mutual confidentiality and data-protection claims.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Synthetic, unsigned negotiation material | Account Alpha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NORTHSTAR CLOUD | SYNTHETIC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