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20"/>
        </w:rPr>
        <w:t>CONTRACT NEGOTIATION BRIEF</w:t>
      </w:r>
    </w:p>
    <w:p>
      <w:pPr>
        <w:spacing w:after="80"/>
      </w:pPr>
      <w:r>
        <w:rPr>
          <w:rFonts w:ascii="Calibri" w:hAnsi="Calibri"/>
          <w:b/>
          <w:color w:val="0B2545"/>
          <w:sz w:val="46"/>
        </w:rPr>
        <w:t>Negotiation Issues List</w:t>
      </w:r>
    </w:p>
    <w:p>
      <w:pPr>
        <w:spacing w:after="280"/>
      </w:pPr>
      <w:r>
        <w:rPr>
          <w:rFonts w:ascii="Calibri" w:hAnsi="Calibri"/>
          <w:color w:val="666666"/>
          <w:sz w:val="24"/>
        </w:rPr>
        <w:t>Decision review: 2026-07-17 | Northstar Cloud / Account Alpha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Matter: </w:t>
      </w:r>
      <w:r>
        <w:rPr>
          <w:rFonts w:ascii="Calibri" w:hAnsi="Calibri"/>
          <w:color w:val="000000"/>
          <w:sz w:val="20"/>
        </w:rPr>
        <w:t>Northstar Cloud / Account Alpha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Decision date: </w:t>
      </w:r>
      <w:r>
        <w:rPr>
          <w:rFonts w:ascii="Calibri" w:hAnsi="Calibri"/>
          <w:color w:val="000000"/>
          <w:sz w:val="20"/>
        </w:rPr>
        <w:t>2026-07-17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Status: </w:t>
      </w:r>
      <w:r>
        <w:rPr>
          <w:rFonts w:ascii="Calibri" w:hAnsi="Calibri"/>
          <w:color w:val="000000"/>
          <w:sz w:val="20"/>
        </w:rPr>
        <w:t>Synthetic draft - unsigned and non-binding</w:t>
      </w:r>
    </w:p>
    <w:p>
      <w:pPr>
        <w:pStyle w:val="Heading1"/>
      </w:pPr>
      <w:r>
        <w:t>Decision frame</w:t>
      </w:r>
    </w:p>
    <w:p>
      <w:r>
        <w:rPr>
          <w:rFonts w:ascii="Calibri" w:hAnsi="Calibri"/>
          <w:color w:val="000000"/>
          <w:sz w:val="22"/>
        </w:rPr>
        <w:t>Target package is Enterprise (USD 210,000), Success Plus (USD 24,000), and Data Connect (USD 14,000), for USD 248,000 annually over 2026-07-18 through 2027-07-17. This working list is synthetic and unsigned.</w:t>
      </w:r>
    </w:p>
    <w:p>
      <w:pPr>
        <w:pStyle w:val="Heading1"/>
      </w:pPr>
      <w:r>
        <w:t>Open commercial and legal issues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Topic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Working position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Fallback / open point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Payment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Net 30 from invoice date; annual invoice in advance.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Fallback net 45 only with annual prepayment; owner: Rowan Mercer.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Renewal notice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60 days written non-renewal notice.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Fallback 45 days; owner: Priya Noland.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Service objective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99.9% monthly service objective; no service credits in current draft.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Confirm whether a limited credit schedule is requested; owner: Elliot Park.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handling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DPA applies to service processing; no certification assertion.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Confirm subprocessors, deletion, incident, and audit language; owner: Avery Sloan.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Liability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Cap equals fees paid or payable in prior 12 months.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Fallback one times annual fees for mutual confidentiality and data-protection claims; owner: Morgan Hale.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Precedence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DPA, then order form, then base agreement for conflicts on the same subject.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Confirm base agreement reference; owner: Morgan Hale.</w:t>
            </w:r>
          </w:p>
        </w:tc>
      </w:tr>
    </w:tbl>
    <w:p>
      <w:r>
        <w:br w:type="page"/>
      </w:r>
    </w:p>
    <w:p>
      <w:pPr>
        <w:pStyle w:val="Heading1"/>
      </w:pPr>
      <w:r>
        <w:t>Next steps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Account review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Obtain feedback on the 60-day notice and no-credit service-objective position.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Legal review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Confirm DPA open items: subprocessors, deletion, incident cooperation, audit procedure, and processing roles.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Contract review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Confirm the liability fallback and order-of-precedence sentence against the final base agreement reference.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Release gate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Prepare definitive documents only after the open issues are resolved in writing.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Synthetic, unsigned negotiation material | Account Alpha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NORTHSTAR CLOUD | SYNTHETIC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