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1F3A"/>
          <w:sz w:val="46"/>
        </w:rPr>
        <w:t>DECISION MEMO</w:t>
      </w:r>
    </w:p>
    <w:p>
      <w:pPr>
        <w:spacing w:after="240"/>
      </w:pPr>
      <w:r>
        <w:rPr>
          <w:rFonts w:ascii="Calibri" w:hAnsi="Calibri"/>
          <w:color w:val="4B5563"/>
          <w:sz w:val="28"/>
        </w:rPr>
        <w:t>Commercial approval memo - Account Alpha</w:t>
      </w:r>
    </w:p>
    <w:p>
      <w:pPr>
        <w:spacing w:after="40"/>
      </w:pPr>
      <w:r>
        <w:rPr>
          <w:rFonts w:ascii="Calibri" w:hAnsi="Calibri"/>
          <w:b/>
        </w:rPr>
        <w:t xml:space="preserve">To: </w:t>
      </w:r>
      <w:r>
        <w:t>Commercial Approval Team</w:t>
      </w:r>
    </w:p>
    <w:p>
      <w:pPr>
        <w:spacing w:after="40"/>
      </w:pPr>
      <w:r>
        <w:rPr>
          <w:rFonts w:ascii="Calibri" w:hAnsi="Calibri"/>
          <w:b/>
        </w:rPr>
        <w:t xml:space="preserve">From: </w:t>
      </w:r>
      <w:r>
        <w:t>Rowan Mercer, Account Executive</w:t>
      </w:r>
    </w:p>
    <w:p>
      <w:pPr>
        <w:spacing w:after="40"/>
      </w:pPr>
      <w:r>
        <w:rPr>
          <w:rFonts w:ascii="Calibri" w:hAnsi="Calibri"/>
          <w:b/>
        </w:rPr>
        <w:t xml:space="preserve">Date: </w:t>
      </w:r>
      <w:r>
        <w:t>2026-07-17</w:t>
      </w:r>
    </w:p>
    <w:p>
      <w:pPr>
        <w:spacing w:after="40"/>
      </w:pPr>
      <w:r>
        <w:rPr>
          <w:rFonts w:ascii="Calibri" w:hAnsi="Calibri"/>
          <w:b/>
        </w:rPr>
        <w:t xml:space="preserve">Re: </w:t>
      </w:r>
      <w:r>
        <w:t>Annual approved pricing for Account Alpha</w:t>
      </w:r>
    </w:p>
    <w:p>
      <w:pPr>
        <w:spacing w:after="40"/>
      </w:pPr>
      <w:r>
        <w:rPr>
          <w:rFonts w:ascii="Calibri" w:hAnsi="Calibri"/>
          <w:b/>
        </w:rPr>
        <w:t xml:space="preserve">Status: </w:t>
      </w:r>
      <w:r>
        <w:t>Approved</w:t>
      </w:r>
    </w:p>
    <w:p>
      <w:pPr>
        <w:pStyle w:val="Heading1"/>
      </w:pPr>
      <w:r>
        <w:t>Decision</w:t>
      </w:r>
    </w:p>
    <w:p>
      <w:r>
        <w:t>Approve a 12-month commercial package for Account Alpha at an annual approved total of USD 248,000 for 2026-07-18 through 2027-07-17. The approved package includes Enterprise Platform, Success Plus, and Data Connect.</w:t>
      </w:r>
    </w:p>
    <w:p>
      <w:pPr>
        <w:pStyle w:val="Heading1"/>
      </w:pPr>
      <w:r>
        <w:t>Approved commercial package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3312"/>
            <w:vAlign w:val="center"/>
            <w:shd w:fill="0B1F3A"/>
          </w:tcPr>
          <w:p>
            <w:r/>
            <w:r>
              <w:rPr>
                <w:rFonts w:ascii="Calibri" w:hAnsi="Calibri"/>
                <w:b/>
                <w:color w:val="FFFFFF"/>
                <w:sz w:val="20"/>
              </w:rPr>
              <w:t>Component</w:t>
            </w:r>
          </w:p>
        </w:tc>
        <w:tc>
          <w:tcPr>
            <w:tcW w:type="dxa" w:w="1800"/>
            <w:vAlign w:val="center"/>
            <w:shd w:fill="0B1F3A"/>
          </w:tcPr>
          <w:p>
            <w:r/>
            <w:r>
              <w:rPr>
                <w:rFonts w:ascii="Calibri" w:hAnsi="Calibri"/>
                <w:b/>
                <w:color w:val="FFFFFF"/>
                <w:sz w:val="20"/>
              </w:rPr>
              <w:t>List price</w:t>
            </w:r>
          </w:p>
        </w:tc>
        <w:tc>
          <w:tcPr>
            <w:tcW w:type="dxa" w:w="1584"/>
            <w:vAlign w:val="center"/>
            <w:shd w:fill="0B1F3A"/>
          </w:tcPr>
          <w:p>
            <w:r/>
            <w:r>
              <w:rPr>
                <w:rFonts w:ascii="Calibri" w:hAnsi="Calibri"/>
                <w:b/>
                <w:color w:val="FFFFFF"/>
                <w:sz w:val="20"/>
              </w:rPr>
              <w:t>Discount</w:t>
            </w:r>
          </w:p>
        </w:tc>
        <w:tc>
          <w:tcPr>
            <w:tcW w:type="dxa" w:w="1944"/>
            <w:vAlign w:val="center"/>
            <w:shd w:fill="0B1F3A"/>
          </w:tcPr>
          <w:p>
            <w:r/>
            <w:r>
              <w:rPr>
                <w:rFonts w:ascii="Calibri" w:hAnsi="Calibri"/>
                <w:b/>
                <w:color w:val="FFFFFF"/>
                <w:sz w:val="20"/>
              </w:rPr>
              <w:t>Approved price</w:t>
            </w:r>
          </w:p>
        </w:tc>
      </w:tr>
      <w:tr>
        <w:tc>
          <w:tcPr>
            <w:tcW w:type="dxa" w:w="2340"/>
            <w:vAlign w:val="center"/>
          </w:tcPr>
          <w:p>
            <w:r/>
            <w:r>
              <w:rPr>
                <w:rFonts w:ascii="Calibri" w:hAnsi="Calibri"/>
                <w:b w:val="0"/>
                <w:sz w:val="20"/>
              </w:rPr>
              <w:t>Enterprise Platform</w:t>
            </w:r>
          </w:p>
        </w:tc>
        <w:tc>
          <w:tcPr>
            <w:tcW w:type="dxa" w:w="2340"/>
            <w:vAlign w:val="center"/>
          </w:tcPr>
          <w:p>
            <w:r/>
            <w:r>
              <w:rPr>
                <w:rFonts w:ascii="Calibri" w:hAnsi="Calibri"/>
                <w:b w:val="0"/>
                <w:sz w:val="20"/>
              </w:rPr>
              <w:t>$240,000</w:t>
            </w:r>
          </w:p>
        </w:tc>
        <w:tc>
          <w:tcPr>
            <w:tcW w:type="dxa" w:w="2340"/>
            <w:vAlign w:val="center"/>
          </w:tcPr>
          <w:p>
            <w:r/>
            <w:r>
              <w:rPr>
                <w:rFonts w:ascii="Calibri" w:hAnsi="Calibri"/>
                <w:b w:val="0"/>
                <w:sz w:val="20"/>
              </w:rPr>
              <w:t>12.5%</w:t>
            </w:r>
          </w:p>
        </w:tc>
        <w:tc>
          <w:tcPr>
            <w:tcW w:type="dxa" w:w="2340"/>
            <w:vAlign w:val="center"/>
          </w:tcPr>
          <w:p>
            <w:r/>
            <w:r>
              <w:rPr>
                <w:rFonts w:ascii="Calibri" w:hAnsi="Calibri"/>
                <w:b w:val="0"/>
                <w:sz w:val="20"/>
              </w:rPr>
              <w:t>$210,000</w:t>
            </w:r>
          </w:p>
        </w:tc>
      </w:tr>
      <w:tr>
        <w:tc>
          <w:tcPr>
            <w:tcW w:type="dxa" w:w="2340"/>
            <w:vAlign w:val="center"/>
          </w:tcPr>
          <w:p>
            <w:r/>
            <w:r>
              <w:rPr>
                <w:rFonts w:ascii="Calibri" w:hAnsi="Calibri"/>
                <w:b w:val="0"/>
                <w:sz w:val="20"/>
              </w:rPr>
              <w:t>Success Plus</w:t>
            </w:r>
          </w:p>
        </w:tc>
        <w:tc>
          <w:tcPr>
            <w:tcW w:type="dxa" w:w="2340"/>
            <w:vAlign w:val="center"/>
          </w:tcPr>
          <w:p>
            <w:r/>
            <w:r>
              <w:rPr>
                <w:rFonts w:ascii="Calibri" w:hAnsi="Calibri"/>
                <w:b w:val="0"/>
                <w:sz w:val="20"/>
              </w:rPr>
              <w:t>$30,000</w:t>
            </w:r>
          </w:p>
        </w:tc>
        <w:tc>
          <w:tcPr>
            <w:tcW w:type="dxa" w:w="2340"/>
            <w:vAlign w:val="center"/>
          </w:tcPr>
          <w:p>
            <w:r/>
            <w:r>
              <w:rPr>
                <w:rFonts w:ascii="Calibri" w:hAnsi="Calibri"/>
                <w:b w:val="0"/>
                <w:sz w:val="20"/>
              </w:rPr>
              <w:t>20.0%</w:t>
            </w:r>
          </w:p>
        </w:tc>
        <w:tc>
          <w:tcPr>
            <w:tcW w:type="dxa" w:w="2340"/>
            <w:vAlign w:val="center"/>
          </w:tcPr>
          <w:p>
            <w:r/>
            <w:r>
              <w:rPr>
                <w:rFonts w:ascii="Calibri" w:hAnsi="Calibri"/>
                <w:b w:val="0"/>
                <w:sz w:val="20"/>
              </w:rPr>
              <w:t>$24,000</w:t>
            </w:r>
          </w:p>
        </w:tc>
      </w:tr>
      <w:tr>
        <w:tc>
          <w:tcPr>
            <w:tcW w:type="dxa" w:w="2340"/>
            <w:vAlign w:val="center"/>
          </w:tcPr>
          <w:p>
            <w:r/>
            <w:r>
              <w:rPr>
                <w:rFonts w:ascii="Calibri" w:hAnsi="Calibri"/>
                <w:b w:val="0"/>
                <w:sz w:val="20"/>
              </w:rPr>
              <w:t>Data Connect</w:t>
            </w:r>
          </w:p>
        </w:tc>
        <w:tc>
          <w:tcPr>
            <w:tcW w:type="dxa" w:w="2340"/>
            <w:vAlign w:val="center"/>
          </w:tcPr>
          <w:p>
            <w:r/>
            <w:r>
              <w:rPr>
                <w:rFonts w:ascii="Calibri" w:hAnsi="Calibri"/>
                <w:b w:val="0"/>
                <w:sz w:val="20"/>
              </w:rPr>
              <w:t>$20,000</w:t>
            </w:r>
          </w:p>
        </w:tc>
        <w:tc>
          <w:tcPr>
            <w:tcW w:type="dxa" w:w="2340"/>
            <w:vAlign w:val="center"/>
          </w:tcPr>
          <w:p>
            <w:r/>
            <w:r>
              <w:rPr>
                <w:rFonts w:ascii="Calibri" w:hAnsi="Calibri"/>
                <w:b w:val="0"/>
                <w:sz w:val="20"/>
              </w:rPr>
              <w:t>30.0%</w:t>
            </w:r>
          </w:p>
        </w:tc>
        <w:tc>
          <w:tcPr>
            <w:tcW w:type="dxa" w:w="2340"/>
            <w:vAlign w:val="center"/>
          </w:tcPr>
          <w:p>
            <w:r/>
            <w:r>
              <w:rPr>
                <w:rFonts w:ascii="Calibri" w:hAnsi="Calibri"/>
                <w:b w:val="0"/>
                <w:sz w:val="20"/>
              </w:rPr>
              <w:t>$14,000</w:t>
            </w:r>
          </w:p>
        </w:tc>
      </w:tr>
      <w:tr>
        <w:tc>
          <w:tcPr>
            <w:tcW w:type="dxa" w:w="2340"/>
            <w:vAlign w:val="center"/>
            <w:shd w:fill="DDF5EC"/>
          </w:tcPr>
          <w:p>
            <w:r/>
            <w:r>
              <w:rPr>
                <w:rFonts w:ascii="Calibri" w:hAnsi="Calibri"/>
                <w:b/>
                <w:sz w:val="20"/>
              </w:rPr>
              <w:t>Annual approved total</w:t>
            </w:r>
          </w:p>
        </w:tc>
        <w:tc>
          <w:tcPr>
            <w:tcW w:type="dxa" w:w="2340"/>
            <w:vAlign w:val="center"/>
            <w:shd w:fill="DDF5EC"/>
          </w:tcPr>
          <w:p>
            <w:r/>
            <w:r>
              <w:rPr>
                <w:rFonts w:ascii="Calibri" w:hAnsi="Calibri"/>
                <w:b/>
                <w:sz w:val="20"/>
              </w:rPr>
              <w:t>$290,000</w:t>
            </w:r>
          </w:p>
        </w:tc>
        <w:tc>
          <w:tcPr>
            <w:tcW w:type="dxa" w:w="2340"/>
            <w:vAlign w:val="center"/>
            <w:shd w:fill="DDF5EC"/>
          </w:tcPr>
          <w:p>
            <w:r/>
            <w:r>
              <w:rPr>
                <w:rFonts w:ascii="Calibri" w:hAnsi="Calibri"/>
                <w:b/>
                <w:sz w:val="20"/>
              </w:rPr>
              <w:t>$42,000</w:t>
            </w:r>
          </w:p>
        </w:tc>
        <w:tc>
          <w:tcPr>
            <w:tcW w:type="dxa" w:w="2340"/>
            <w:vAlign w:val="center"/>
            <w:shd w:fill="DDF5EC"/>
          </w:tcPr>
          <w:p>
            <w:r/>
            <w:r>
              <w:rPr>
                <w:rFonts w:ascii="Calibri" w:hAnsi="Calibri"/>
                <w:b/>
                <w:sz w:val="20"/>
              </w:rPr>
              <w:t>$248,000</w:t>
            </w:r>
          </w:p>
        </w:tc>
      </w:tr>
    </w:tbl>
    <w:p>
      <w:pPr>
        <w:pStyle w:val="Heading1"/>
      </w:pPr>
      <w:r>
        <w:t>Approval chain</w:t>
      </w:r>
    </w:p>
    <w:p>
      <w:r>
        <w:t>Rowan Mercer prepared the request. Priya Noland approved Enterprise Platform discounting, Elliot Park approved Success Plus discounting, Avery Sloan approved Data Connect discounting, and Morgan Hale recorded the final commercial approval on 2026-07-17.</w:t>
      </w:r>
    </w:p>
    <w:p>
      <w:pPr>
        <w:pStyle w:val="Heading1"/>
      </w:pPr>
      <w:r>
        <w:t>Controls</w:t>
      </w:r>
    </w:p>
    <w:p>
      <w:r>
        <w:t>List prices and discounts are visible above. The component calculation reconciles exactly: USD 210,000 + USD 24,000 + USD 14,000 = USD 248,000. Any renewal alternatives are not approved and must not be quoted or booked.</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approval record | Northstar Cloud example.test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7085"/>
        <w:sz w:val="16"/>
      </w:rPr>
      <w:t>NORTHSTAR CLOUD  |  COMMERCIAL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