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8A999"/>
          <w:sz w:val="24"/>
        </w:rPr>
        <w:t>NORTHSTAR CLOUD</w:t>
      </w:r>
    </w:p>
    <w:p>
      <w:pPr>
        <w:spacing w:after="80"/>
        <w:jc w:val="center"/>
      </w:pPr>
      <w:r>
        <w:rPr>
          <w:b/>
          <w:color w:val="0B1F3A"/>
          <w:sz w:val="48"/>
        </w:rPr>
        <w:t>RFP Response Seed</w:t>
      </w:r>
    </w:p>
    <w:p>
      <w:pPr>
        <w:spacing w:after="320"/>
        <w:jc w:val="center"/>
      </w:pPr>
      <w:r>
        <w:rPr>
          <w:color w:val="4B5563"/>
          <w:sz w:val="24"/>
        </w:rPr>
        <w:t>Account Alpha renewal and procurement</w:t>
      </w:r>
    </w:p>
    <w:tbl>
      <w:tblPr>
        <w:tblStyle w:val="TableGrid"/>
        <w:tblW w:type="auto" w:w="0"/>
        <w:jc w:val="left"/>
        <w:tblLayout w:type="fixed"/>
        <w:tblLook w:firstColumn="1" w:firstRow="1" w:lastColumn="0" w:lastRow="0" w:noHBand="0" w:noVBand="1" w:val="04A0"/>
        <w:tblLayout w:type="fixed"/>
      </w:tblPr>
      <w:tblGrid>
        <w:gridCol w:w="3120"/>
        <w:gridCol w:w="3120"/>
        <w:gridCol w:w="3120"/>
      </w:tblGrid>
      <w:tr>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for</w:t>
            </w:r>
          </w:p>
        </w:tc>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by</w:t>
            </w:r>
          </w:p>
        </w:tc>
        <w:tc>
          <w:tcPr>
            <w:tcW w:type="dxa" w:w="3168"/>
            <w:shd w:fill="F4F6F8"/>
            <w:vAlign w:val="center"/>
            <w:tcMar>
              <w:top w:w="100" w:type="dxa"/>
              <w:start w:w="120" w:type="dxa"/>
              <w:bottom w:w="100" w:type="dxa"/>
              <w:end w:w="120" w:type="dxa"/>
            </w:tcMar>
          </w:tcPr>
          <w:p>
            <w:pPr>
              <w:spacing w:after="0"/>
            </w:pPr>
            <w:r/>
            <w:r>
              <w:rPr>
                <w:rFonts w:ascii="Calibri" w:hAnsi="Calibri"/>
                <w:b/>
                <w:color w:val="0B1F3A"/>
                <w:sz w:val="18"/>
              </w:rPr>
              <w:t>Issue date</w:t>
            </w:r>
          </w:p>
        </w:tc>
      </w:tr>
      <w:tr>
        <w:tc>
          <w:tcPr>
            <w:tcW w:type="dxa" w:w="3096"/>
            <w:vAlign w:val="center"/>
            <w:tcMar>
              <w:top w:w="100" w:type="dxa"/>
              <w:start w:w="120" w:type="dxa"/>
              <w:bottom w:w="100" w:type="dxa"/>
              <w:end w:w="120" w:type="dxa"/>
            </w:tcMar>
          </w:tcPr>
          <w:p>
            <w:pPr>
              <w:spacing w:after="0"/>
            </w:pPr>
            <w:r/>
            <w:r>
              <w:rPr>
                <w:rFonts w:ascii="Calibri" w:hAnsi="Calibri"/>
                <w:b w:val="0"/>
                <w:color w:val="1F2937"/>
                <w:sz w:val="17"/>
              </w:rPr>
              <w:t>Account Alpha</w:t>
            </w:r>
          </w:p>
        </w:tc>
        <w:tc>
          <w:tcPr>
            <w:tcW w:type="dxa" w:w="3096"/>
            <w:vAlign w:val="center"/>
            <w:tcMar>
              <w:top w:w="100" w:type="dxa"/>
              <w:start w:w="120" w:type="dxa"/>
              <w:bottom w:w="100" w:type="dxa"/>
              <w:end w:w="120" w:type="dxa"/>
            </w:tcMar>
          </w:tcPr>
          <w:p>
            <w:pPr>
              <w:spacing w:after="0"/>
            </w:pPr>
            <w:r/>
            <w:r>
              <w:rPr>
                <w:rFonts w:ascii="Calibri" w:hAnsi="Calibri"/>
                <w:b w:val="0"/>
                <w:color w:val="1F2937"/>
                <w:sz w:val="17"/>
              </w:rPr>
              <w:t>Rowan Mercer, Account Executive</w:t>
            </w:r>
          </w:p>
        </w:tc>
        <w:tc>
          <w:tcPr>
            <w:tcW w:type="dxa" w:w="3168"/>
            <w:vAlign w:val="center"/>
            <w:tcMar>
              <w:top w:w="100" w:type="dxa"/>
              <w:start w:w="120" w:type="dxa"/>
              <w:bottom w:w="100" w:type="dxa"/>
              <w:end w:w="120" w:type="dxa"/>
            </w:tcMar>
          </w:tcPr>
          <w:p>
            <w:pPr>
              <w:spacing w:after="0"/>
            </w:pPr>
            <w:r/>
            <w:r>
              <w:rPr>
                <w:rFonts w:ascii="Calibri" w:hAnsi="Calibri"/>
                <w:b w:val="0"/>
                <w:color w:val="1F2937"/>
                <w:sz w:val="17"/>
              </w:rPr>
              <w:t>17 July 2026</w:t>
            </w:r>
          </w:p>
        </w:tc>
      </w:tr>
    </w:tbl>
    <w:p>
      <w:pPr>
        <w:pStyle w:val="Heading1"/>
      </w:pPr>
      <w:r>
        <w:t>1. Response position</w:t>
      </w:r>
    </w:p>
    <w:p>
      <w:r>
        <w:t>Northstar Cloud submits this fictional response for Account Alpha’s renewal evaluation. The proposed term is 18 July 2026 through 17 July 2027, with an approved annual amount of USD 248,000. This document is a controlled seed for the final submission package; it establishes the common commercial, service, and governance anchors used throughout the package.</w:t>
      </w:r>
    </w:p>
    <w:p>
      <w:pPr>
        <w:pStyle w:val="Heading1"/>
      </w:pPr>
      <w:r>
        <w:t>2. Shared engagement anchors</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1944"/>
            <w:shd w:fill="F4F6F8"/>
            <w:vAlign w:val="center"/>
            <w:tcMar>
              <w:top w:w="100" w:type="dxa"/>
              <w:start w:w="120" w:type="dxa"/>
              <w:bottom w:w="100" w:type="dxa"/>
              <w:end w:w="120" w:type="dxa"/>
            </w:tcMar>
          </w:tcPr>
          <w:p>
            <w:pPr>
              <w:spacing w:after="0"/>
            </w:pPr>
            <w:r/>
            <w:r>
              <w:rPr>
                <w:rFonts w:ascii="Calibri" w:hAnsi="Calibri"/>
                <w:b/>
                <w:color w:val="0B1F3A"/>
                <w:sz w:val="18"/>
              </w:rPr>
              <w:t>Anchor</w:t>
            </w:r>
          </w:p>
        </w:tc>
        <w:tc>
          <w:tcPr>
            <w:tcW w:type="dxa" w:w="3528"/>
            <w:shd w:fill="F4F6F8"/>
            <w:vAlign w:val="center"/>
            <w:tcMar>
              <w:top w:w="100" w:type="dxa"/>
              <w:start w:w="120" w:type="dxa"/>
              <w:bottom w:w="100" w:type="dxa"/>
              <w:end w:w="120" w:type="dxa"/>
            </w:tcMar>
          </w:tcPr>
          <w:p>
            <w:pPr>
              <w:spacing w:after="0"/>
            </w:pPr>
            <w:r/>
            <w:r>
              <w:rPr>
                <w:rFonts w:ascii="Calibri" w:hAnsi="Calibri"/>
                <w:b/>
                <w:color w:val="0B1F3A"/>
                <w:sz w:val="18"/>
              </w:rPr>
              <w:t>Commitment</w:t>
            </w:r>
          </w:p>
        </w:tc>
        <w:tc>
          <w:tcPr>
            <w:tcW w:type="dxa" w:w="1728"/>
            <w:shd w:fill="F4F6F8"/>
            <w:vAlign w:val="center"/>
            <w:tcMar>
              <w:top w:w="100" w:type="dxa"/>
              <w:start w:w="120" w:type="dxa"/>
              <w:bottom w:w="100" w:type="dxa"/>
              <w:end w:w="120" w:type="dxa"/>
            </w:tcMar>
          </w:tcPr>
          <w:p>
            <w:pPr>
              <w:spacing w:after="0"/>
            </w:pPr>
            <w:r/>
            <w:r>
              <w:rPr>
                <w:rFonts w:ascii="Calibri" w:hAnsi="Calibri"/>
                <w:b/>
                <w:color w:val="0B1F3A"/>
                <w:sz w:val="18"/>
              </w:rPr>
              <w:t>Owner</w:t>
            </w:r>
          </w:p>
        </w:tc>
        <w:tc>
          <w:tcPr>
            <w:tcW w:type="dxa" w:w="2160"/>
            <w:shd w:fill="F4F6F8"/>
            <w:vAlign w:val="center"/>
            <w:tcMar>
              <w:top w:w="100" w:type="dxa"/>
              <w:start w:w="120" w:type="dxa"/>
              <w:bottom w:w="100" w:type="dxa"/>
              <w:end w:w="120" w:type="dxa"/>
            </w:tcMar>
          </w:tcPr>
          <w:p>
            <w:pPr>
              <w:spacing w:after="0"/>
            </w:pPr>
            <w:r/>
            <w:r>
              <w:rPr>
                <w:rFonts w:ascii="Calibri" w:hAnsi="Calibri"/>
                <w:b/>
                <w:color w:val="0B1F3A"/>
                <w:sz w:val="18"/>
              </w:rPr>
              <w:t>Exception / cross-reference</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Term</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18 Jul 2026 - 17 Jul 2027</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§2</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Annual amount</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USD 248,000 approved</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Priya Noland</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Service objective</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Internal 99.95% service objective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Security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Customer contacts</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Avery Sloan and Morgan Hale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Implementation Response §2</w:t>
            </w:r>
          </w:p>
        </w:tc>
      </w:tr>
    </w:tbl>
    <w:p>
      <w:pPr>
        <w:pStyle w:val="Heading1"/>
      </w:pPr>
      <w:r>
        <w:t>3. Submission governance</w:t>
      </w:r>
    </w:p>
    <w:p>
      <w:r>
        <w:t>Rowan Mercer owns the response narrative and submission coordination. Priya Noland owns commercial confirmation. Elliot Park owns implementation and security response coordination. Account Alpha decision contacts are Avery Sloan and Morgan Hale. Any departure from this package must be tracked in the requirements tracker and approved in writing by the applicable owner.</w:t>
      </w:r>
    </w:p>
    <w:p>
      <w:pPr>
        <w:pStyle w:val="Heading1"/>
      </w:pPr>
      <w:r>
        <w:t>4. Requirements index</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2448"/>
            <w:shd w:fill="F4F6F8"/>
            <w:vAlign w:val="center"/>
            <w:tcMar>
              <w:top w:w="100" w:type="dxa"/>
              <w:start w:w="120" w:type="dxa"/>
              <w:bottom w:w="100" w:type="dxa"/>
              <w:end w:w="120" w:type="dxa"/>
            </w:tcMar>
          </w:tcPr>
          <w:p>
            <w:pPr>
              <w:spacing w:after="0"/>
            </w:pPr>
            <w:r/>
            <w:r>
              <w:rPr>
                <w:rFonts w:ascii="Calibri" w:hAnsi="Calibri"/>
                <w:b/>
                <w:color w:val="0B1F3A"/>
                <w:sz w:val="18"/>
              </w:rPr>
              <w:t>Requirement</w:t>
            </w:r>
          </w:p>
        </w:tc>
        <w:tc>
          <w:tcPr>
            <w:tcW w:type="dxa" w:w="3240"/>
            <w:shd w:fill="F4F6F8"/>
            <w:vAlign w:val="center"/>
            <w:tcMar>
              <w:top w:w="100" w:type="dxa"/>
              <w:start w:w="120" w:type="dxa"/>
              <w:bottom w:w="100" w:type="dxa"/>
              <w:end w:w="120" w:type="dxa"/>
            </w:tcMar>
          </w:tcPr>
          <w:p>
            <w:pPr>
              <w:spacing w:after="0"/>
            </w:pPr>
            <w:r/>
            <w:r>
              <w:rPr>
                <w:rFonts w:ascii="Calibri" w:hAnsi="Calibri"/>
                <w:b/>
                <w:color w:val="0B1F3A"/>
                <w:sz w:val="18"/>
              </w:rPr>
              <w:t>Response location</w:t>
            </w:r>
          </w:p>
        </w:tc>
        <w:tc>
          <w:tcPr>
            <w:tcW w:type="dxa" w:w="1800"/>
            <w:shd w:fill="F4F6F8"/>
            <w:vAlign w:val="center"/>
            <w:tcMar>
              <w:top w:w="100" w:type="dxa"/>
              <w:start w:w="120" w:type="dxa"/>
              <w:bottom w:w="100" w:type="dxa"/>
              <w:end w:w="120" w:type="dxa"/>
            </w:tcMar>
          </w:tcPr>
          <w:p>
            <w:pPr>
              <w:spacing w:after="0"/>
            </w:pPr>
            <w:r/>
            <w:r>
              <w:rPr>
                <w:rFonts w:ascii="Calibri" w:hAnsi="Calibri"/>
                <w:b/>
                <w:color w:val="0B1F3A"/>
                <w:sz w:val="18"/>
              </w:rPr>
              <w:t>Status</w:t>
            </w:r>
          </w:p>
        </w:tc>
        <w:tc>
          <w:tcPr>
            <w:tcW w:type="dxa" w:w="1872"/>
            <w:shd w:fill="F4F6F8"/>
            <w:vAlign w:val="center"/>
            <w:tcMar>
              <w:top w:w="100" w:type="dxa"/>
              <w:start w:w="120" w:type="dxa"/>
              <w:bottom w:w="100" w:type="dxa"/>
              <w:end w:w="120" w:type="dxa"/>
            </w:tcMar>
          </w:tcPr>
          <w:p>
            <w:pPr>
              <w:spacing w:after="0"/>
            </w:pPr>
            <w:r/>
            <w:r>
              <w:rPr>
                <w:rFonts w:ascii="Calibri" w:hAnsi="Calibri"/>
                <w:b/>
                <w:color w:val="0B1F3A"/>
                <w:sz w:val="18"/>
              </w:rPr>
              <w:t>Owner</w:t>
            </w:r>
          </w:p>
        </w:tc>
      </w:tr>
      <w:tr>
        <w:tc>
          <w:tcPr>
            <w:tcW w:type="dxa" w:w="2448"/>
            <w:vAlign w:val="center"/>
            <w:tcMar>
              <w:top w:w="100" w:type="dxa"/>
              <w:start w:w="120" w:type="dxa"/>
              <w:bottom w:w="100" w:type="dxa"/>
              <w:end w:w="120" w:type="dxa"/>
            </w:tcMar>
          </w:tcPr>
          <w:p>
            <w:pPr>
              <w:spacing w:after="0"/>
            </w:pPr>
            <w:r/>
            <w:r>
              <w:rPr>
                <w:rFonts w:ascii="Calibri" w:hAnsi="Calibri"/>
                <w:b w:val="0"/>
                <w:color w:val="1F2937"/>
                <w:sz w:val="17"/>
              </w:rPr>
              <w:t>Security controls</w:t>
            </w:r>
          </w:p>
        </w:tc>
        <w:tc>
          <w:tcPr>
            <w:tcW w:type="dxa" w:w="3240"/>
            <w:vAlign w:val="center"/>
            <w:tcMar>
              <w:top w:w="100" w:type="dxa"/>
              <w:start w:w="120" w:type="dxa"/>
              <w:bottom w:w="100" w:type="dxa"/>
              <w:end w:w="120" w:type="dxa"/>
            </w:tcMar>
          </w:tcPr>
          <w:p>
            <w:pPr>
              <w:spacing w:after="0"/>
            </w:pPr>
            <w:r/>
            <w:r>
              <w:rPr>
                <w:rFonts w:ascii="Calibri" w:hAnsi="Calibri"/>
                <w:b w:val="0"/>
                <w:color w:val="1F2937"/>
                <w:sz w:val="17"/>
              </w:rPr>
              <w:t>01-rfp-security-response.docx</w:t>
            </w:r>
          </w:p>
        </w:tc>
        <w:tc>
          <w:tcPr>
            <w:tcW w:type="dxa" w:w="1800"/>
            <w:vAlign w:val="center"/>
            <w:tcMar>
              <w:top w:w="100" w:type="dxa"/>
              <w:start w:w="120" w:type="dxa"/>
              <w:bottom w:w="100" w:type="dxa"/>
              <w:end w:w="120" w:type="dxa"/>
            </w:tcMar>
          </w:tcPr>
          <w:p>
            <w:pPr>
              <w:spacing w:after="0"/>
            </w:pPr>
            <w:r/>
            <w:r>
              <w:rPr>
                <w:rFonts w:ascii="Calibri" w:hAnsi="Calibri"/>
                <w:b w:val="0"/>
                <w:color w:val="1F2937"/>
                <w:sz w:val="17"/>
              </w:rPr>
              <w:t>Committed with scope</w:t>
            </w:r>
          </w:p>
        </w:tc>
        <w:tc>
          <w:tcPr>
            <w:tcW w:type="dxa" w:w="1872"/>
            <w:vAlign w:val="center"/>
            <w:tcMar>
              <w:top w:w="100" w:type="dxa"/>
              <w:start w:w="120" w:type="dxa"/>
              <w:bottom w:w="100" w:type="dxa"/>
              <w:end w:w="120" w:type="dxa"/>
            </w:tcMar>
          </w:tcPr>
          <w:p>
            <w:pPr>
              <w:spacing w:after="0"/>
            </w:pPr>
            <w:r/>
            <w:r>
              <w:rPr>
                <w:rFonts w:ascii="Calibri" w:hAnsi="Calibri"/>
                <w:b w:val="0"/>
                <w:color w:val="1F2937"/>
                <w:sz w:val="17"/>
              </w:rPr>
              <w:t>Elliot Park</w:t>
            </w:r>
          </w:p>
        </w:tc>
      </w:tr>
      <w:tr>
        <w:tc>
          <w:tcPr>
            <w:tcW w:type="dxa" w:w="2448"/>
            <w:vAlign w:val="center"/>
            <w:tcMar>
              <w:top w:w="100" w:type="dxa"/>
              <w:start w:w="120" w:type="dxa"/>
              <w:bottom w:w="100" w:type="dxa"/>
              <w:end w:w="120" w:type="dxa"/>
            </w:tcMar>
          </w:tcPr>
          <w:p>
            <w:pPr>
              <w:spacing w:after="0"/>
            </w:pPr>
            <w:r/>
            <w:r>
              <w:rPr>
                <w:rFonts w:ascii="Calibri" w:hAnsi="Calibri"/>
                <w:b w:val="0"/>
                <w:color w:val="1F2937"/>
                <w:sz w:val="17"/>
              </w:rPr>
              <w:t>Implementation plan</w:t>
            </w:r>
          </w:p>
        </w:tc>
        <w:tc>
          <w:tcPr>
            <w:tcW w:type="dxa" w:w="3240"/>
            <w:vAlign w:val="center"/>
            <w:tcMar>
              <w:top w:w="100" w:type="dxa"/>
              <w:start w:w="120" w:type="dxa"/>
              <w:bottom w:w="100" w:type="dxa"/>
              <w:end w:w="120" w:type="dxa"/>
            </w:tcMar>
          </w:tcPr>
          <w:p>
            <w:pPr>
              <w:spacing w:after="0"/>
            </w:pPr>
            <w:r/>
            <w:r>
              <w:rPr>
                <w:rFonts w:ascii="Calibri" w:hAnsi="Calibri"/>
                <w:b w:val="0"/>
                <w:color w:val="1F2937"/>
                <w:sz w:val="17"/>
              </w:rPr>
              <w:t>02-rfp-implementation-response.docx</w:t>
            </w:r>
          </w:p>
        </w:tc>
        <w:tc>
          <w:tcPr>
            <w:tcW w:type="dxa" w:w="1800"/>
            <w:vAlign w:val="center"/>
            <w:tcMar>
              <w:top w:w="100" w:type="dxa"/>
              <w:start w:w="120" w:type="dxa"/>
              <w:bottom w:w="100" w:type="dxa"/>
              <w:end w:w="120" w:type="dxa"/>
            </w:tcMar>
          </w:tcPr>
          <w:p>
            <w:pPr>
              <w:spacing w:after="0"/>
            </w:pPr>
            <w:r/>
            <w:r>
              <w:rPr>
                <w:rFonts w:ascii="Calibri" w:hAnsi="Calibri"/>
                <w:b w:val="0"/>
                <w:color w:val="1F2937"/>
                <w:sz w:val="17"/>
              </w:rPr>
              <w:t>Committed</w:t>
            </w:r>
          </w:p>
        </w:tc>
        <w:tc>
          <w:tcPr>
            <w:tcW w:type="dxa" w:w="1872"/>
            <w:vAlign w:val="center"/>
            <w:tcMar>
              <w:top w:w="100" w:type="dxa"/>
              <w:start w:w="120" w:type="dxa"/>
              <w:bottom w:w="100" w:type="dxa"/>
              <w:end w:w="120" w:type="dxa"/>
            </w:tcMar>
          </w:tcPr>
          <w:p>
            <w:pPr>
              <w:spacing w:after="0"/>
            </w:pPr>
            <w:r/>
            <w:r>
              <w:rPr>
                <w:rFonts w:ascii="Calibri" w:hAnsi="Calibri"/>
                <w:b w:val="0"/>
                <w:color w:val="1F2937"/>
                <w:sz w:val="17"/>
              </w:rPr>
              <w:t>Elliot Park</w:t>
            </w:r>
          </w:p>
        </w:tc>
      </w:tr>
      <w:tr>
        <w:tc>
          <w:tcPr>
            <w:tcW w:type="dxa" w:w="2448"/>
            <w:vAlign w:val="center"/>
            <w:tcMar>
              <w:top w:w="100" w:type="dxa"/>
              <w:start w:w="120" w:type="dxa"/>
              <w:bottom w:w="100" w:type="dxa"/>
              <w:end w:w="120" w:type="dxa"/>
            </w:tcMar>
          </w:tcPr>
          <w:p>
            <w:pPr>
              <w:spacing w:after="0"/>
            </w:pPr>
            <w:r/>
            <w:r>
              <w:rPr>
                <w:rFonts w:ascii="Calibri" w:hAnsi="Calibri"/>
                <w:b w:val="0"/>
                <w:color w:val="1F2937"/>
                <w:sz w:val="17"/>
              </w:rPr>
              <w:t>Commercial terms</w:t>
            </w:r>
          </w:p>
        </w:tc>
        <w:tc>
          <w:tcPr>
            <w:tcW w:type="dxa" w:w="3240"/>
            <w:vAlign w:val="center"/>
            <w:tcMar>
              <w:top w:w="100" w:type="dxa"/>
              <w:start w:w="120" w:type="dxa"/>
              <w:bottom w:w="100" w:type="dxa"/>
              <w:end w:w="120" w:type="dxa"/>
            </w:tcMar>
          </w:tcPr>
          <w:p>
            <w:pPr>
              <w:spacing w:after="0"/>
            </w:pPr>
            <w:r/>
            <w:r>
              <w:rPr>
                <w:rFonts w:ascii="Calibri" w:hAnsi="Calibri"/>
                <w:b w:val="0"/>
                <w:color w:val="1F2937"/>
                <w:sz w:val="17"/>
              </w:rPr>
              <w:t>03-rfp-commercial-response.docx</w:t>
            </w:r>
          </w:p>
        </w:tc>
        <w:tc>
          <w:tcPr>
            <w:tcW w:type="dxa" w:w="1800"/>
            <w:vAlign w:val="center"/>
            <w:tcMar>
              <w:top w:w="100" w:type="dxa"/>
              <w:start w:w="120" w:type="dxa"/>
              <w:bottom w:w="100" w:type="dxa"/>
              <w:end w:w="120" w:type="dxa"/>
            </w:tcMar>
          </w:tcPr>
          <w:p>
            <w:pPr>
              <w:spacing w:after="0"/>
            </w:pPr>
            <w:r/>
            <w:r>
              <w:rPr>
                <w:rFonts w:ascii="Calibri" w:hAnsi="Calibri"/>
                <w:b w:val="0"/>
                <w:color w:val="1F2937"/>
                <w:sz w:val="17"/>
              </w:rPr>
              <w:t>Approved</w:t>
            </w:r>
          </w:p>
        </w:tc>
        <w:tc>
          <w:tcPr>
            <w:tcW w:type="dxa" w:w="1872"/>
            <w:vAlign w:val="center"/>
            <w:tcMar>
              <w:top w:w="100" w:type="dxa"/>
              <w:start w:w="120" w:type="dxa"/>
              <w:bottom w:w="100" w:type="dxa"/>
              <w:end w:w="120" w:type="dxa"/>
            </w:tcMar>
          </w:tcPr>
          <w:p>
            <w:pPr>
              <w:spacing w:after="0"/>
            </w:pPr>
            <w:r/>
            <w:r>
              <w:rPr>
                <w:rFonts w:ascii="Calibri" w:hAnsi="Calibri"/>
                <w:b w:val="0"/>
                <w:color w:val="1F2937"/>
                <w:sz w:val="17"/>
              </w:rPr>
              <w:t>Priya Noland</w:t>
            </w:r>
          </w:p>
        </w:tc>
      </w:tr>
      <w:tr>
        <w:tc>
          <w:tcPr>
            <w:tcW w:type="dxa" w:w="2448"/>
            <w:vAlign w:val="center"/>
            <w:tcMar>
              <w:top w:w="100" w:type="dxa"/>
              <w:start w:w="120" w:type="dxa"/>
              <w:bottom w:w="100" w:type="dxa"/>
              <w:end w:w="120" w:type="dxa"/>
            </w:tcMar>
          </w:tcPr>
          <w:p>
            <w:pPr>
              <w:spacing w:after="0"/>
            </w:pPr>
            <w:r/>
            <w:r>
              <w:rPr>
                <w:rFonts w:ascii="Calibri" w:hAnsi="Calibri"/>
                <w:b w:val="0"/>
                <w:color w:val="1F2937"/>
                <w:sz w:val="17"/>
              </w:rPr>
              <w:t>Evidence and clarifications</w:t>
            </w:r>
          </w:p>
        </w:tc>
        <w:tc>
          <w:tcPr>
            <w:tcW w:type="dxa" w:w="3240"/>
            <w:vAlign w:val="center"/>
            <w:tcMar>
              <w:top w:w="100" w:type="dxa"/>
              <w:start w:w="120" w:type="dxa"/>
              <w:bottom w:w="100" w:type="dxa"/>
              <w:end w:w="120" w:type="dxa"/>
            </w:tcMar>
          </w:tcPr>
          <w:p>
            <w:pPr>
              <w:spacing w:after="0"/>
            </w:pPr>
            <w:r/>
            <w:r>
              <w:rPr>
                <w:rFonts w:ascii="Calibri" w:hAnsi="Calibri"/>
                <w:b w:val="0"/>
                <w:color w:val="1F2937"/>
                <w:sz w:val="17"/>
              </w:rPr>
              <w:t>07-08 and tracker</w:t>
            </w:r>
          </w:p>
        </w:tc>
        <w:tc>
          <w:tcPr>
            <w:tcW w:type="dxa" w:w="1800"/>
            <w:vAlign w:val="center"/>
            <w:tcMar>
              <w:top w:w="100" w:type="dxa"/>
              <w:start w:w="120" w:type="dxa"/>
              <w:bottom w:w="100" w:type="dxa"/>
              <w:end w:w="120" w:type="dxa"/>
            </w:tcMar>
          </w:tcPr>
          <w:p>
            <w:pPr>
              <w:spacing w:after="0"/>
            </w:pPr>
            <w:r/>
            <w:r>
              <w:rPr>
                <w:rFonts w:ascii="Calibri" w:hAnsi="Calibri"/>
                <w:b w:val="0"/>
                <w:color w:val="1F2937"/>
                <w:sz w:val="17"/>
              </w:rPr>
              <w:t>Open items controlled</w:t>
            </w:r>
          </w:p>
        </w:tc>
        <w:tc>
          <w:tcPr>
            <w:tcW w:type="dxa" w:w="1872"/>
            <w:vAlign w:val="center"/>
            <w:tcMar>
              <w:top w:w="100" w:type="dxa"/>
              <w:start w:w="120" w:type="dxa"/>
              <w:bottom w:w="100" w:type="dxa"/>
              <w:end w:w="120" w:type="dxa"/>
            </w:tcMar>
          </w:tcPr>
          <w:p>
            <w:pPr>
              <w:spacing w:after="0"/>
            </w:pPr>
            <w:r/>
            <w:r>
              <w:rPr>
                <w:rFonts w:ascii="Calibri" w:hAnsi="Calibri"/>
                <w:b w:val="0"/>
                <w:color w:val="1F2937"/>
                <w:sz w:val="17"/>
              </w:rPr>
              <w:t>Rowan Mercer</w:t>
            </w:r>
          </w:p>
        </w:tc>
      </w:tr>
    </w:tbl>
    <w:p>
      <w:pPr>
        <w:pStyle w:val="Heading1"/>
      </w:pPr>
      <w:r>
        <w:t>5. Owner confirmation</w:t>
      </w:r>
    </w:p>
    <w:p>
      <w:r>
        <w:t>Owner: Rowan Mercer. This fictional response is internally coordinated for Account Alpha and is intended to be read with the final submission PDF, capability matrix, executive summary, and requirements tracker.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Northstar Cloud - Fictional procurement response | 17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Northstar Cloud | Account Alpha | Seed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