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jc w:val="center"/>
      </w:pPr>
      <w:r>
        <w:rPr>
          <w:b/>
          <w:color w:val="18A999"/>
          <w:sz w:val="24"/>
        </w:rPr>
        <w:t>NORTHSTAR CLOUD</w:t>
      </w:r>
    </w:p>
    <w:p>
      <w:pPr>
        <w:spacing w:after="80"/>
        <w:jc w:val="center"/>
      </w:pPr>
      <w:r>
        <w:rPr>
          <w:b/>
          <w:color w:val="0B1F3A"/>
          <w:sz w:val="48"/>
        </w:rPr>
        <w:t>Security Response</w:t>
      </w:r>
    </w:p>
    <w:p>
      <w:pPr>
        <w:spacing w:after="320"/>
        <w:jc w:val="center"/>
      </w:pPr>
      <w:r>
        <w:rPr>
          <w:color w:val="4B5563"/>
          <w:sz w:val="24"/>
        </w:rPr>
        <w:t>Account Alpha renewal and procurement</w:t>
      </w:r>
    </w:p>
    <w:tbl>
      <w:tblPr>
        <w:tblStyle w:val="TableGrid"/>
        <w:tblW w:type="auto" w:w="0"/>
        <w:jc w:val="left"/>
        <w:tblLayout w:type="fixed"/>
        <w:tblLook w:firstColumn="1" w:firstRow="1" w:lastColumn="0" w:lastRow="0" w:noHBand="0" w:noVBand="1" w:val="04A0"/>
        <w:tblLayout w:type="fixed"/>
      </w:tblPr>
      <w:tblGrid>
        <w:gridCol w:w="3120"/>
        <w:gridCol w:w="3120"/>
        <w:gridCol w:w="3120"/>
      </w:tblGrid>
      <w:tr>
        <w:tc>
          <w:tcPr>
            <w:tcW w:type="dxa" w:w="3096"/>
            <w:shd w:fill="F4F6F8"/>
            <w:vAlign w:val="center"/>
            <w:tcMar>
              <w:top w:w="100" w:type="dxa"/>
              <w:start w:w="120" w:type="dxa"/>
              <w:bottom w:w="100" w:type="dxa"/>
              <w:end w:w="120" w:type="dxa"/>
            </w:tcMar>
          </w:tcPr>
          <w:p>
            <w:pPr>
              <w:spacing w:after="0"/>
            </w:pPr>
            <w:r/>
            <w:r>
              <w:rPr>
                <w:rFonts w:ascii="Calibri" w:hAnsi="Calibri"/>
                <w:b/>
                <w:color w:val="0B1F3A"/>
                <w:sz w:val="18"/>
              </w:rPr>
              <w:t>Prepared for</w:t>
            </w:r>
          </w:p>
        </w:tc>
        <w:tc>
          <w:tcPr>
            <w:tcW w:type="dxa" w:w="3096"/>
            <w:shd w:fill="F4F6F8"/>
            <w:vAlign w:val="center"/>
            <w:tcMar>
              <w:top w:w="100" w:type="dxa"/>
              <w:start w:w="120" w:type="dxa"/>
              <w:bottom w:w="100" w:type="dxa"/>
              <w:end w:w="120" w:type="dxa"/>
            </w:tcMar>
          </w:tcPr>
          <w:p>
            <w:pPr>
              <w:spacing w:after="0"/>
            </w:pPr>
            <w:r/>
            <w:r>
              <w:rPr>
                <w:rFonts w:ascii="Calibri" w:hAnsi="Calibri"/>
                <w:b/>
                <w:color w:val="0B1F3A"/>
                <w:sz w:val="18"/>
              </w:rPr>
              <w:t>Prepared by</w:t>
            </w:r>
          </w:p>
        </w:tc>
        <w:tc>
          <w:tcPr>
            <w:tcW w:type="dxa" w:w="3168"/>
            <w:shd w:fill="F4F6F8"/>
            <w:vAlign w:val="center"/>
            <w:tcMar>
              <w:top w:w="100" w:type="dxa"/>
              <w:start w:w="120" w:type="dxa"/>
              <w:bottom w:w="100" w:type="dxa"/>
              <w:end w:w="120" w:type="dxa"/>
            </w:tcMar>
          </w:tcPr>
          <w:p>
            <w:pPr>
              <w:spacing w:after="0"/>
            </w:pPr>
            <w:r/>
            <w:r>
              <w:rPr>
                <w:rFonts w:ascii="Calibri" w:hAnsi="Calibri"/>
                <w:b/>
                <w:color w:val="0B1F3A"/>
                <w:sz w:val="18"/>
              </w:rPr>
              <w:t>Issue date</w:t>
            </w:r>
          </w:p>
        </w:tc>
      </w:tr>
      <w:tr>
        <w:tc>
          <w:tcPr>
            <w:tcW w:type="dxa" w:w="3096"/>
            <w:vAlign w:val="center"/>
            <w:tcMar>
              <w:top w:w="100" w:type="dxa"/>
              <w:start w:w="120" w:type="dxa"/>
              <w:bottom w:w="100" w:type="dxa"/>
              <w:end w:w="120" w:type="dxa"/>
            </w:tcMar>
          </w:tcPr>
          <w:p>
            <w:pPr>
              <w:spacing w:after="0"/>
            </w:pPr>
            <w:r/>
            <w:r>
              <w:rPr>
                <w:rFonts w:ascii="Calibri" w:hAnsi="Calibri"/>
                <w:b w:val="0"/>
                <w:color w:val="1F2937"/>
                <w:sz w:val="17"/>
              </w:rPr>
              <w:t>Account Alpha</w:t>
            </w:r>
          </w:p>
        </w:tc>
        <w:tc>
          <w:tcPr>
            <w:tcW w:type="dxa" w:w="3096"/>
            <w:vAlign w:val="center"/>
            <w:tcMar>
              <w:top w:w="100" w:type="dxa"/>
              <w:start w:w="120" w:type="dxa"/>
              <w:bottom w:w="100" w:type="dxa"/>
              <w:end w:w="120" w:type="dxa"/>
            </w:tcMar>
          </w:tcPr>
          <w:p>
            <w:pPr>
              <w:spacing w:after="0"/>
            </w:pPr>
            <w:r/>
            <w:r>
              <w:rPr>
                <w:rFonts w:ascii="Calibri" w:hAnsi="Calibri"/>
                <w:b w:val="0"/>
                <w:color w:val="1F2937"/>
                <w:sz w:val="17"/>
              </w:rPr>
              <w:t>Rowan Mercer, Account Executive</w:t>
            </w:r>
          </w:p>
        </w:tc>
        <w:tc>
          <w:tcPr>
            <w:tcW w:type="dxa" w:w="3168"/>
            <w:vAlign w:val="center"/>
            <w:tcMar>
              <w:top w:w="100" w:type="dxa"/>
              <w:start w:w="120" w:type="dxa"/>
              <w:bottom w:w="100" w:type="dxa"/>
              <w:end w:w="120" w:type="dxa"/>
            </w:tcMar>
          </w:tcPr>
          <w:p>
            <w:pPr>
              <w:spacing w:after="0"/>
            </w:pPr>
            <w:r/>
            <w:r>
              <w:rPr>
                <w:rFonts w:ascii="Calibri" w:hAnsi="Calibri"/>
                <w:b w:val="0"/>
                <w:color w:val="1F2937"/>
                <w:sz w:val="17"/>
              </w:rPr>
              <w:t>17 July 2026</w:t>
            </w:r>
          </w:p>
        </w:tc>
      </w:tr>
    </w:tbl>
    <w:p>
      <w:pPr>
        <w:pStyle w:val="Heading1"/>
      </w:pPr>
      <w:r>
        <w:t>1. Response position</w:t>
      </w:r>
    </w:p>
    <w:p>
      <w:r>
        <w:t>Northstar Cloud describes the following fictional control commitments for this procurement response. They are scoped commitments for the Account Alpha service configuration and are not assertions of certification, audit attestation, or third-party validation.</w:t>
      </w:r>
    </w:p>
    <w:p>
      <w:pPr>
        <w:pStyle w:val="Heading1"/>
      </w:pPr>
      <w:r>
        <w:t>2. Shared engagement anchors</w:t>
      </w:r>
    </w:p>
    <w:tbl>
      <w:tblPr>
        <w:tblStyle w:val="TableGrid"/>
        <w:tblW w:type="auto" w:w="0"/>
        <w:jc w:val="left"/>
        <w:tblLayout w:type="fixed"/>
        <w:tblLook w:firstColumn="1" w:firstRow="1" w:lastColumn="0" w:lastRow="0" w:noHBand="0" w:noVBand="1" w:val="04A0"/>
        <w:tblLayout w:type="fixed"/>
      </w:tblPr>
      <w:tblGrid>
        <w:gridCol w:w="2340"/>
        <w:gridCol w:w="2340"/>
        <w:gridCol w:w="2340"/>
        <w:gridCol w:w="2340"/>
      </w:tblGrid>
      <w:tr>
        <w:tc>
          <w:tcPr>
            <w:tcW w:type="dxa" w:w="1944"/>
            <w:shd w:fill="F4F6F8"/>
            <w:vAlign w:val="center"/>
            <w:tcMar>
              <w:top w:w="100" w:type="dxa"/>
              <w:start w:w="120" w:type="dxa"/>
              <w:bottom w:w="100" w:type="dxa"/>
              <w:end w:w="120" w:type="dxa"/>
            </w:tcMar>
          </w:tcPr>
          <w:p>
            <w:pPr>
              <w:spacing w:after="0"/>
            </w:pPr>
            <w:r/>
            <w:r>
              <w:rPr>
                <w:rFonts w:ascii="Calibri" w:hAnsi="Calibri"/>
                <w:b/>
                <w:color w:val="0B1F3A"/>
                <w:sz w:val="18"/>
              </w:rPr>
              <w:t>Anchor</w:t>
            </w:r>
          </w:p>
        </w:tc>
        <w:tc>
          <w:tcPr>
            <w:tcW w:type="dxa" w:w="3528"/>
            <w:shd w:fill="F4F6F8"/>
            <w:vAlign w:val="center"/>
            <w:tcMar>
              <w:top w:w="100" w:type="dxa"/>
              <w:start w:w="120" w:type="dxa"/>
              <w:bottom w:w="100" w:type="dxa"/>
              <w:end w:w="120" w:type="dxa"/>
            </w:tcMar>
          </w:tcPr>
          <w:p>
            <w:pPr>
              <w:spacing w:after="0"/>
            </w:pPr>
            <w:r/>
            <w:r>
              <w:rPr>
                <w:rFonts w:ascii="Calibri" w:hAnsi="Calibri"/>
                <w:b/>
                <w:color w:val="0B1F3A"/>
                <w:sz w:val="18"/>
              </w:rPr>
              <w:t>Commitment</w:t>
            </w:r>
          </w:p>
        </w:tc>
        <w:tc>
          <w:tcPr>
            <w:tcW w:type="dxa" w:w="1728"/>
            <w:shd w:fill="F4F6F8"/>
            <w:vAlign w:val="center"/>
            <w:tcMar>
              <w:top w:w="100" w:type="dxa"/>
              <w:start w:w="120" w:type="dxa"/>
              <w:bottom w:w="100" w:type="dxa"/>
              <w:end w:w="120" w:type="dxa"/>
            </w:tcMar>
          </w:tcPr>
          <w:p>
            <w:pPr>
              <w:spacing w:after="0"/>
            </w:pPr>
            <w:r/>
            <w:r>
              <w:rPr>
                <w:rFonts w:ascii="Calibri" w:hAnsi="Calibri"/>
                <w:b/>
                <w:color w:val="0B1F3A"/>
                <w:sz w:val="18"/>
              </w:rPr>
              <w:t>Owner</w:t>
            </w:r>
          </w:p>
        </w:tc>
        <w:tc>
          <w:tcPr>
            <w:tcW w:type="dxa" w:w="2160"/>
            <w:shd w:fill="F4F6F8"/>
            <w:vAlign w:val="center"/>
            <w:tcMar>
              <w:top w:w="100" w:type="dxa"/>
              <w:start w:w="120" w:type="dxa"/>
              <w:bottom w:w="100" w:type="dxa"/>
              <w:end w:w="120" w:type="dxa"/>
            </w:tcMar>
          </w:tcPr>
          <w:p>
            <w:pPr>
              <w:spacing w:after="0"/>
            </w:pPr>
            <w:r/>
            <w:r>
              <w:rPr>
                <w:rFonts w:ascii="Calibri" w:hAnsi="Calibri"/>
                <w:b/>
                <w:color w:val="0B1F3A"/>
                <w:sz w:val="18"/>
              </w:rPr>
              <w:t>Exception / cross-reference</w:t>
            </w:r>
          </w:p>
        </w:tc>
      </w:tr>
      <w:tr>
        <w:tc>
          <w:tcPr>
            <w:tcW w:type="dxa" w:w="1944"/>
            <w:vAlign w:val="center"/>
            <w:tcMar>
              <w:top w:w="100" w:type="dxa"/>
              <w:start w:w="120" w:type="dxa"/>
              <w:bottom w:w="100" w:type="dxa"/>
              <w:end w:w="120" w:type="dxa"/>
            </w:tcMar>
          </w:tcPr>
          <w:p>
            <w:pPr>
              <w:spacing w:after="0"/>
            </w:pPr>
            <w:r/>
            <w:r>
              <w:rPr>
                <w:rFonts w:ascii="Calibri" w:hAnsi="Calibri"/>
                <w:b w:val="0"/>
                <w:color w:val="1F2937"/>
                <w:sz w:val="17"/>
              </w:rPr>
              <w:t>Term</w:t>
            </w:r>
          </w:p>
        </w:tc>
        <w:tc>
          <w:tcPr>
            <w:tcW w:type="dxa" w:w="3528"/>
            <w:vAlign w:val="center"/>
            <w:tcMar>
              <w:top w:w="100" w:type="dxa"/>
              <w:start w:w="120" w:type="dxa"/>
              <w:bottom w:w="100" w:type="dxa"/>
              <w:end w:w="120" w:type="dxa"/>
            </w:tcMar>
          </w:tcPr>
          <w:p>
            <w:pPr>
              <w:spacing w:after="0"/>
            </w:pPr>
            <w:r/>
            <w:r>
              <w:rPr>
                <w:rFonts w:ascii="Calibri" w:hAnsi="Calibri"/>
                <w:b w:val="0"/>
                <w:color w:val="1F2937"/>
                <w:sz w:val="17"/>
              </w:rPr>
              <w:t>18 Jul 2026 - 17 Jul 2027</w:t>
            </w:r>
          </w:p>
        </w:tc>
        <w:tc>
          <w:tcPr>
            <w:tcW w:type="dxa" w:w="1728"/>
            <w:vAlign w:val="center"/>
            <w:tcMar>
              <w:top w:w="100" w:type="dxa"/>
              <w:start w:w="120" w:type="dxa"/>
              <w:bottom w:w="100" w:type="dxa"/>
              <w:end w:w="120" w:type="dxa"/>
            </w:tcMar>
          </w:tcPr>
          <w:p>
            <w:pPr>
              <w:spacing w:after="0"/>
            </w:pPr>
            <w:r/>
            <w:r>
              <w:rPr>
                <w:rFonts w:ascii="Calibri" w:hAnsi="Calibri"/>
                <w:b w:val="0"/>
                <w:color w:val="1F2937"/>
                <w:sz w:val="17"/>
              </w:rPr>
              <w:t>Rowan Mercer</w:t>
            </w:r>
          </w:p>
        </w:tc>
        <w:tc>
          <w:tcPr>
            <w:tcW w:type="dxa" w:w="2160"/>
            <w:vAlign w:val="center"/>
            <w:tcMar>
              <w:top w:w="100" w:type="dxa"/>
              <w:start w:w="120" w:type="dxa"/>
              <w:bottom w:w="100" w:type="dxa"/>
              <w:end w:w="120" w:type="dxa"/>
            </w:tcMar>
          </w:tcPr>
          <w:p>
            <w:pPr>
              <w:spacing w:after="0"/>
            </w:pPr>
            <w:r/>
            <w:r>
              <w:rPr>
                <w:rFonts w:ascii="Calibri" w:hAnsi="Calibri"/>
                <w:b w:val="0"/>
                <w:color w:val="1F2937"/>
                <w:sz w:val="17"/>
              </w:rPr>
              <w:t>Commercial Response §2</w:t>
            </w:r>
          </w:p>
        </w:tc>
      </w:tr>
      <w:tr>
        <w:tc>
          <w:tcPr>
            <w:tcW w:type="dxa" w:w="1944"/>
            <w:vAlign w:val="center"/>
            <w:tcMar>
              <w:top w:w="100" w:type="dxa"/>
              <w:start w:w="120" w:type="dxa"/>
              <w:bottom w:w="100" w:type="dxa"/>
              <w:end w:w="120" w:type="dxa"/>
            </w:tcMar>
          </w:tcPr>
          <w:p>
            <w:pPr>
              <w:spacing w:after="0"/>
            </w:pPr>
            <w:r/>
            <w:r>
              <w:rPr>
                <w:rFonts w:ascii="Calibri" w:hAnsi="Calibri"/>
                <w:b w:val="0"/>
                <w:color w:val="1F2937"/>
                <w:sz w:val="17"/>
              </w:rPr>
              <w:t>Annual amount</w:t>
            </w:r>
          </w:p>
        </w:tc>
        <w:tc>
          <w:tcPr>
            <w:tcW w:type="dxa" w:w="3528"/>
            <w:vAlign w:val="center"/>
            <w:tcMar>
              <w:top w:w="100" w:type="dxa"/>
              <w:start w:w="120" w:type="dxa"/>
              <w:bottom w:w="100" w:type="dxa"/>
              <w:end w:w="120" w:type="dxa"/>
            </w:tcMar>
          </w:tcPr>
          <w:p>
            <w:pPr>
              <w:spacing w:after="0"/>
            </w:pPr>
            <w:r/>
            <w:r>
              <w:rPr>
                <w:rFonts w:ascii="Calibri" w:hAnsi="Calibri"/>
                <w:b w:val="0"/>
                <w:color w:val="1F2937"/>
                <w:sz w:val="17"/>
              </w:rPr>
              <w:t>USD 248,000 approved</w:t>
            </w:r>
          </w:p>
        </w:tc>
        <w:tc>
          <w:tcPr>
            <w:tcW w:type="dxa" w:w="1728"/>
            <w:vAlign w:val="center"/>
            <w:tcMar>
              <w:top w:w="100" w:type="dxa"/>
              <w:start w:w="120" w:type="dxa"/>
              <w:bottom w:w="100" w:type="dxa"/>
              <w:end w:w="120" w:type="dxa"/>
            </w:tcMar>
          </w:tcPr>
          <w:p>
            <w:pPr>
              <w:spacing w:after="0"/>
            </w:pPr>
            <w:r/>
            <w:r>
              <w:rPr>
                <w:rFonts w:ascii="Calibri" w:hAnsi="Calibri"/>
                <w:b w:val="0"/>
                <w:color w:val="1F2937"/>
                <w:sz w:val="17"/>
              </w:rPr>
              <w:t>Priya Noland</w:t>
            </w:r>
          </w:p>
        </w:tc>
        <w:tc>
          <w:tcPr>
            <w:tcW w:type="dxa" w:w="2160"/>
            <w:vAlign w:val="center"/>
            <w:tcMar>
              <w:top w:w="100" w:type="dxa"/>
              <w:start w:w="120" w:type="dxa"/>
              <w:bottom w:w="100" w:type="dxa"/>
              <w:end w:w="120" w:type="dxa"/>
            </w:tcMar>
          </w:tcPr>
          <w:p>
            <w:pPr>
              <w:spacing w:after="0"/>
            </w:pPr>
            <w:r/>
            <w:r>
              <w:rPr>
                <w:rFonts w:ascii="Calibri" w:hAnsi="Calibri"/>
                <w:b w:val="0"/>
                <w:color w:val="1F2937"/>
                <w:sz w:val="17"/>
              </w:rPr>
              <w:t>Commercial Response §3</w:t>
            </w:r>
          </w:p>
        </w:tc>
      </w:tr>
      <w:tr>
        <w:tc>
          <w:tcPr>
            <w:tcW w:type="dxa" w:w="1944"/>
            <w:vAlign w:val="center"/>
            <w:tcMar>
              <w:top w:w="100" w:type="dxa"/>
              <w:start w:w="120" w:type="dxa"/>
              <w:bottom w:w="100" w:type="dxa"/>
              <w:end w:w="120" w:type="dxa"/>
            </w:tcMar>
          </w:tcPr>
          <w:p>
            <w:pPr>
              <w:spacing w:after="0"/>
            </w:pPr>
            <w:r/>
            <w:r>
              <w:rPr>
                <w:rFonts w:ascii="Calibri" w:hAnsi="Calibri"/>
                <w:b w:val="0"/>
                <w:color w:val="1F2937"/>
                <w:sz w:val="17"/>
              </w:rPr>
              <w:t>Service objective</w:t>
            </w:r>
          </w:p>
        </w:tc>
        <w:tc>
          <w:tcPr>
            <w:tcW w:type="dxa" w:w="3528"/>
            <w:vAlign w:val="center"/>
            <w:tcMar>
              <w:top w:w="100" w:type="dxa"/>
              <w:start w:w="120" w:type="dxa"/>
              <w:bottom w:w="100" w:type="dxa"/>
              <w:end w:w="120" w:type="dxa"/>
            </w:tcMar>
          </w:tcPr>
          <w:p>
            <w:pPr>
              <w:spacing w:after="0"/>
            </w:pPr>
            <w:r/>
            <w:r>
              <w:rPr>
                <w:rFonts w:ascii="Calibri" w:hAnsi="Calibri"/>
                <w:b w:val="0"/>
                <w:color w:val="1F2937"/>
                <w:sz w:val="17"/>
              </w:rPr>
              <w:t>Internal 99.95% service objective</w:t>
            </w:r>
          </w:p>
        </w:tc>
        <w:tc>
          <w:tcPr>
            <w:tcW w:type="dxa" w:w="1728"/>
            <w:vAlign w:val="center"/>
            <w:tcMar>
              <w:top w:w="100" w:type="dxa"/>
              <w:start w:w="120" w:type="dxa"/>
              <w:bottom w:w="100" w:type="dxa"/>
              <w:end w:w="120" w:type="dxa"/>
            </w:tcMar>
          </w:tcPr>
          <w:p>
            <w:pPr>
              <w:spacing w:after="0"/>
            </w:pPr>
            <w:r/>
            <w:r>
              <w:rPr>
                <w:rFonts w:ascii="Calibri" w:hAnsi="Calibri"/>
                <w:b w:val="0"/>
                <w:color w:val="1F2937"/>
                <w:sz w:val="17"/>
              </w:rPr>
              <w:t>Elliot Park</w:t>
            </w:r>
          </w:p>
        </w:tc>
        <w:tc>
          <w:tcPr>
            <w:tcW w:type="dxa" w:w="2160"/>
            <w:vAlign w:val="center"/>
            <w:tcMar>
              <w:top w:w="100" w:type="dxa"/>
              <w:start w:w="120" w:type="dxa"/>
              <w:bottom w:w="100" w:type="dxa"/>
              <w:end w:w="120" w:type="dxa"/>
            </w:tcMar>
          </w:tcPr>
          <w:p>
            <w:pPr>
              <w:spacing w:after="0"/>
            </w:pPr>
            <w:r/>
            <w:r>
              <w:rPr>
                <w:rFonts w:ascii="Calibri" w:hAnsi="Calibri"/>
                <w:b w:val="0"/>
                <w:color w:val="1F2937"/>
                <w:sz w:val="17"/>
              </w:rPr>
              <w:t>Security Response §3</w:t>
            </w:r>
          </w:p>
        </w:tc>
      </w:tr>
      <w:tr>
        <w:tc>
          <w:tcPr>
            <w:tcW w:type="dxa" w:w="1944"/>
            <w:vAlign w:val="center"/>
            <w:tcMar>
              <w:top w:w="100" w:type="dxa"/>
              <w:start w:w="120" w:type="dxa"/>
              <w:bottom w:w="100" w:type="dxa"/>
              <w:end w:w="120" w:type="dxa"/>
            </w:tcMar>
          </w:tcPr>
          <w:p>
            <w:pPr>
              <w:spacing w:after="0"/>
            </w:pPr>
            <w:r/>
            <w:r>
              <w:rPr>
                <w:rFonts w:ascii="Calibri" w:hAnsi="Calibri"/>
                <w:b w:val="0"/>
                <w:color w:val="1F2937"/>
                <w:sz w:val="17"/>
              </w:rPr>
              <w:t>Customer contacts</w:t>
            </w:r>
          </w:p>
        </w:tc>
        <w:tc>
          <w:tcPr>
            <w:tcW w:type="dxa" w:w="3528"/>
            <w:vAlign w:val="center"/>
            <w:tcMar>
              <w:top w:w="100" w:type="dxa"/>
              <w:start w:w="120" w:type="dxa"/>
              <w:bottom w:w="100" w:type="dxa"/>
              <w:end w:w="120" w:type="dxa"/>
            </w:tcMar>
          </w:tcPr>
          <w:p>
            <w:pPr>
              <w:spacing w:after="0"/>
            </w:pPr>
            <w:r/>
            <w:r>
              <w:rPr>
                <w:rFonts w:ascii="Calibri" w:hAnsi="Calibri"/>
                <w:b w:val="0"/>
                <w:color w:val="1F2937"/>
                <w:sz w:val="17"/>
              </w:rPr>
              <w:t>Avery Sloan and Morgan Hale</w:t>
            </w:r>
          </w:p>
        </w:tc>
        <w:tc>
          <w:tcPr>
            <w:tcW w:type="dxa" w:w="1728"/>
            <w:vAlign w:val="center"/>
            <w:tcMar>
              <w:top w:w="100" w:type="dxa"/>
              <w:start w:w="120" w:type="dxa"/>
              <w:bottom w:w="100" w:type="dxa"/>
              <w:end w:w="120" w:type="dxa"/>
            </w:tcMar>
          </w:tcPr>
          <w:p>
            <w:pPr>
              <w:spacing w:after="0"/>
            </w:pPr>
            <w:r/>
            <w:r>
              <w:rPr>
                <w:rFonts w:ascii="Calibri" w:hAnsi="Calibri"/>
                <w:b w:val="0"/>
                <w:color w:val="1F2937"/>
                <w:sz w:val="17"/>
              </w:rPr>
              <w:t>Rowan Mercer</w:t>
            </w:r>
          </w:p>
        </w:tc>
        <w:tc>
          <w:tcPr>
            <w:tcW w:type="dxa" w:w="2160"/>
            <w:vAlign w:val="center"/>
            <w:tcMar>
              <w:top w:w="100" w:type="dxa"/>
              <w:start w:w="120" w:type="dxa"/>
              <w:bottom w:w="100" w:type="dxa"/>
              <w:end w:w="120" w:type="dxa"/>
            </w:tcMar>
          </w:tcPr>
          <w:p>
            <w:pPr>
              <w:spacing w:after="0"/>
            </w:pPr>
            <w:r/>
            <w:r>
              <w:rPr>
                <w:rFonts w:ascii="Calibri" w:hAnsi="Calibri"/>
                <w:b w:val="0"/>
                <w:color w:val="1F2937"/>
                <w:sz w:val="17"/>
              </w:rPr>
              <w:t>Implementation Response §2</w:t>
            </w:r>
          </w:p>
        </w:tc>
      </w:tr>
    </w:tbl>
    <w:p>
      <w:pPr>
        <w:pStyle w:val="Heading1"/>
      </w:pPr>
      <w:r>
        <w:t>3. Control commitments</w:t>
      </w:r>
    </w:p>
    <w:tbl>
      <w:tblPr>
        <w:tblStyle w:val="TableGrid"/>
        <w:tblW w:type="auto" w:w="0"/>
        <w:jc w:val="left"/>
        <w:tblLayout w:type="fixed"/>
        <w:tblLook w:firstColumn="1" w:firstRow="1" w:lastColumn="0" w:lastRow="0" w:noHBand="0" w:noVBand="1" w:val="04A0"/>
        <w:tblLayout w:type="fixed"/>
      </w:tblPr>
      <w:tblGrid>
        <w:gridCol w:w="2340"/>
        <w:gridCol w:w="2340"/>
        <w:gridCol w:w="2340"/>
        <w:gridCol w:w="2340"/>
      </w:tblGrid>
      <w:tr>
        <w:tc>
          <w:tcPr>
            <w:tcW w:type="dxa" w:w="1800"/>
            <w:shd w:fill="F4F6F8"/>
            <w:vAlign w:val="center"/>
            <w:tcMar>
              <w:top w:w="100" w:type="dxa"/>
              <w:start w:w="120" w:type="dxa"/>
              <w:bottom w:w="100" w:type="dxa"/>
              <w:end w:w="120" w:type="dxa"/>
            </w:tcMar>
          </w:tcPr>
          <w:p>
            <w:pPr>
              <w:spacing w:after="0"/>
            </w:pPr>
            <w:r/>
            <w:r>
              <w:rPr>
                <w:rFonts w:ascii="Calibri" w:hAnsi="Calibri"/>
                <w:b/>
                <w:color w:val="0B1F3A"/>
                <w:sz w:val="18"/>
              </w:rPr>
              <w:t>Requirement</w:t>
            </w:r>
          </w:p>
        </w:tc>
        <w:tc>
          <w:tcPr>
            <w:tcW w:type="dxa" w:w="3816"/>
            <w:shd w:fill="F4F6F8"/>
            <w:vAlign w:val="center"/>
            <w:tcMar>
              <w:top w:w="100" w:type="dxa"/>
              <w:start w:w="120" w:type="dxa"/>
              <w:bottom w:w="100" w:type="dxa"/>
              <w:end w:w="120" w:type="dxa"/>
            </w:tcMar>
          </w:tcPr>
          <w:p>
            <w:pPr>
              <w:spacing w:after="0"/>
            </w:pPr>
            <w:r/>
            <w:r>
              <w:rPr>
                <w:rFonts w:ascii="Calibri" w:hAnsi="Calibri"/>
                <w:b/>
                <w:color w:val="0B1F3A"/>
                <w:sz w:val="18"/>
              </w:rPr>
              <w:t>Northstar Cloud commitment</w:t>
            </w:r>
          </w:p>
        </w:tc>
        <w:tc>
          <w:tcPr>
            <w:tcW w:type="dxa" w:w="1512"/>
            <w:shd w:fill="F4F6F8"/>
            <w:vAlign w:val="center"/>
            <w:tcMar>
              <w:top w:w="100" w:type="dxa"/>
              <w:start w:w="120" w:type="dxa"/>
              <w:bottom w:w="100" w:type="dxa"/>
              <w:end w:w="120" w:type="dxa"/>
            </w:tcMar>
          </w:tcPr>
          <w:p>
            <w:pPr>
              <w:spacing w:after="0"/>
            </w:pPr>
            <w:r/>
            <w:r>
              <w:rPr>
                <w:rFonts w:ascii="Calibri" w:hAnsi="Calibri"/>
                <w:b/>
                <w:color w:val="0B1F3A"/>
                <w:sz w:val="18"/>
              </w:rPr>
              <w:t>Owner</w:t>
            </w:r>
          </w:p>
        </w:tc>
        <w:tc>
          <w:tcPr>
            <w:tcW w:type="dxa" w:w="2232"/>
            <w:shd w:fill="F4F6F8"/>
            <w:vAlign w:val="center"/>
            <w:tcMar>
              <w:top w:w="100" w:type="dxa"/>
              <w:start w:w="120" w:type="dxa"/>
              <w:bottom w:w="100" w:type="dxa"/>
              <w:end w:w="120" w:type="dxa"/>
            </w:tcMar>
          </w:tcPr>
          <w:p>
            <w:pPr>
              <w:spacing w:after="0"/>
            </w:pPr>
            <w:r/>
            <w:r>
              <w:rPr>
                <w:rFonts w:ascii="Calibri" w:hAnsi="Calibri"/>
                <w:b/>
                <w:color w:val="0B1F3A"/>
                <w:sz w:val="18"/>
              </w:rPr>
              <w:t>Exception / evidence</w:t>
            </w:r>
          </w:p>
        </w:tc>
      </w:tr>
      <w:tr>
        <w:tc>
          <w:tcPr>
            <w:tcW w:type="dxa" w:w="1800"/>
            <w:vAlign w:val="center"/>
            <w:tcMar>
              <w:top w:w="100" w:type="dxa"/>
              <w:start w:w="120" w:type="dxa"/>
              <w:bottom w:w="100" w:type="dxa"/>
              <w:end w:w="120" w:type="dxa"/>
            </w:tcMar>
          </w:tcPr>
          <w:p>
            <w:pPr>
              <w:spacing w:after="0"/>
            </w:pPr>
            <w:r/>
            <w:r>
              <w:rPr>
                <w:rFonts w:ascii="Calibri" w:hAnsi="Calibri"/>
                <w:b w:val="0"/>
                <w:color w:val="1F2937"/>
                <w:sz w:val="17"/>
              </w:rPr>
              <w:t>Access management</w:t>
            </w:r>
          </w:p>
        </w:tc>
        <w:tc>
          <w:tcPr>
            <w:tcW w:type="dxa" w:w="3816"/>
            <w:vAlign w:val="center"/>
            <w:tcMar>
              <w:top w:w="100" w:type="dxa"/>
              <w:start w:w="120" w:type="dxa"/>
              <w:bottom w:w="100" w:type="dxa"/>
              <w:end w:w="120" w:type="dxa"/>
            </w:tcMar>
          </w:tcPr>
          <w:p>
            <w:pPr>
              <w:spacing w:after="0"/>
            </w:pPr>
            <w:r/>
            <w:r>
              <w:rPr>
                <w:rFonts w:ascii="Calibri" w:hAnsi="Calibri"/>
                <w:b w:val="0"/>
                <w:color w:val="1F2937"/>
                <w:sz w:val="17"/>
              </w:rPr>
              <w:t>Role-based access and least-privilege review for named service roles.</w:t>
            </w:r>
          </w:p>
        </w:tc>
        <w:tc>
          <w:tcPr>
            <w:tcW w:type="dxa" w:w="1512"/>
            <w:vAlign w:val="center"/>
            <w:tcMar>
              <w:top w:w="100" w:type="dxa"/>
              <w:start w:w="120" w:type="dxa"/>
              <w:bottom w:w="100" w:type="dxa"/>
              <w:end w:w="120" w:type="dxa"/>
            </w:tcMar>
          </w:tcPr>
          <w:p>
            <w:pPr>
              <w:spacing w:after="0"/>
            </w:pPr>
            <w:r/>
            <w:r>
              <w:rPr>
                <w:rFonts w:ascii="Calibri" w:hAnsi="Calibri"/>
                <w:b w:val="0"/>
                <w:color w:val="1F2937"/>
                <w:sz w:val="17"/>
              </w:rPr>
              <w:t>Elliot Park</w:t>
            </w:r>
          </w:p>
        </w:tc>
        <w:tc>
          <w:tcPr>
            <w:tcW w:type="dxa" w:w="2232"/>
            <w:vAlign w:val="center"/>
            <w:tcMar>
              <w:top w:w="100" w:type="dxa"/>
              <w:start w:w="120" w:type="dxa"/>
              <w:bottom w:w="100" w:type="dxa"/>
              <w:end w:w="120" w:type="dxa"/>
            </w:tcMar>
          </w:tcPr>
          <w:p>
            <w:pPr>
              <w:spacing w:after="0"/>
            </w:pPr>
            <w:r/>
            <w:r>
              <w:rPr>
                <w:rFonts w:ascii="Calibri" w:hAnsi="Calibri"/>
                <w:b w:val="0"/>
                <w:color w:val="1F2937"/>
                <w:sz w:val="17"/>
              </w:rPr>
              <w:t>Customer identity integration is a jointly planned dependency.</w:t>
            </w:r>
          </w:p>
        </w:tc>
      </w:tr>
      <w:tr>
        <w:tc>
          <w:tcPr>
            <w:tcW w:type="dxa" w:w="1800"/>
            <w:vAlign w:val="center"/>
            <w:tcMar>
              <w:top w:w="100" w:type="dxa"/>
              <w:start w:w="120" w:type="dxa"/>
              <w:bottom w:w="100" w:type="dxa"/>
              <w:end w:w="120" w:type="dxa"/>
            </w:tcMar>
          </w:tcPr>
          <w:p>
            <w:pPr>
              <w:spacing w:after="0"/>
            </w:pPr>
            <w:r/>
            <w:r>
              <w:rPr>
                <w:rFonts w:ascii="Calibri" w:hAnsi="Calibri"/>
                <w:b w:val="0"/>
                <w:color w:val="1F2937"/>
                <w:sz w:val="17"/>
              </w:rPr>
              <w:t>Encryption</w:t>
            </w:r>
          </w:p>
        </w:tc>
        <w:tc>
          <w:tcPr>
            <w:tcW w:type="dxa" w:w="3816"/>
            <w:vAlign w:val="center"/>
            <w:tcMar>
              <w:top w:w="100" w:type="dxa"/>
              <w:start w:w="120" w:type="dxa"/>
              <w:bottom w:w="100" w:type="dxa"/>
              <w:end w:w="120" w:type="dxa"/>
            </w:tcMar>
          </w:tcPr>
          <w:p>
            <w:pPr>
              <w:spacing w:after="0"/>
            </w:pPr>
            <w:r/>
            <w:r>
              <w:rPr>
                <w:rFonts w:ascii="Calibri" w:hAnsi="Calibri"/>
                <w:b w:val="0"/>
                <w:color w:val="1F2937"/>
                <w:sz w:val="17"/>
              </w:rPr>
              <w:t>Encryption in transit and at rest for the fictional service scope.</w:t>
            </w:r>
          </w:p>
        </w:tc>
        <w:tc>
          <w:tcPr>
            <w:tcW w:type="dxa" w:w="1512"/>
            <w:vAlign w:val="center"/>
            <w:tcMar>
              <w:top w:w="100" w:type="dxa"/>
              <w:start w:w="120" w:type="dxa"/>
              <w:bottom w:w="100" w:type="dxa"/>
              <w:end w:w="120" w:type="dxa"/>
            </w:tcMar>
          </w:tcPr>
          <w:p>
            <w:pPr>
              <w:spacing w:after="0"/>
            </w:pPr>
            <w:r/>
            <w:r>
              <w:rPr>
                <w:rFonts w:ascii="Calibri" w:hAnsi="Calibri"/>
                <w:b w:val="0"/>
                <w:color w:val="1F2937"/>
                <w:sz w:val="17"/>
              </w:rPr>
              <w:t>Elliot Park</w:t>
            </w:r>
          </w:p>
        </w:tc>
        <w:tc>
          <w:tcPr>
            <w:tcW w:type="dxa" w:w="2232"/>
            <w:vAlign w:val="center"/>
            <w:tcMar>
              <w:top w:w="100" w:type="dxa"/>
              <w:start w:w="120" w:type="dxa"/>
              <w:bottom w:w="100" w:type="dxa"/>
              <w:end w:w="120" w:type="dxa"/>
            </w:tcMar>
          </w:tcPr>
          <w:p>
            <w:pPr>
              <w:spacing w:after="0"/>
            </w:pPr>
            <w:r/>
            <w:r>
              <w:rPr>
                <w:rFonts w:ascii="Calibri" w:hAnsi="Calibri"/>
                <w:b w:val="0"/>
                <w:color w:val="1F2937"/>
                <w:sz w:val="17"/>
              </w:rPr>
              <w:t>Key-management design is confirmed during Week 3.</w:t>
            </w:r>
          </w:p>
        </w:tc>
      </w:tr>
      <w:tr>
        <w:tc>
          <w:tcPr>
            <w:tcW w:type="dxa" w:w="1800"/>
            <w:vAlign w:val="center"/>
            <w:tcMar>
              <w:top w:w="100" w:type="dxa"/>
              <w:start w:w="120" w:type="dxa"/>
              <w:bottom w:w="100" w:type="dxa"/>
              <w:end w:w="120" w:type="dxa"/>
            </w:tcMar>
          </w:tcPr>
          <w:p>
            <w:pPr>
              <w:spacing w:after="0"/>
            </w:pPr>
            <w:r/>
            <w:r>
              <w:rPr>
                <w:rFonts w:ascii="Calibri" w:hAnsi="Calibri"/>
                <w:b w:val="0"/>
                <w:color w:val="1F2937"/>
                <w:sz w:val="17"/>
              </w:rPr>
              <w:t>Incident handling</w:t>
            </w:r>
          </w:p>
        </w:tc>
        <w:tc>
          <w:tcPr>
            <w:tcW w:type="dxa" w:w="3816"/>
            <w:vAlign w:val="center"/>
            <w:tcMar>
              <w:top w:w="100" w:type="dxa"/>
              <w:start w:w="120" w:type="dxa"/>
              <w:bottom w:w="100" w:type="dxa"/>
              <w:end w:w="120" w:type="dxa"/>
            </w:tcMar>
          </w:tcPr>
          <w:p>
            <w:pPr>
              <w:spacing w:after="0"/>
            </w:pPr>
            <w:r/>
            <w:r>
              <w:rPr>
                <w:rFonts w:ascii="Calibri" w:hAnsi="Calibri"/>
                <w:b w:val="0"/>
                <w:color w:val="1F2937"/>
                <w:sz w:val="17"/>
              </w:rPr>
              <w:t>Documented triage, customer notification path, and post-incident review.</w:t>
            </w:r>
          </w:p>
        </w:tc>
        <w:tc>
          <w:tcPr>
            <w:tcW w:type="dxa" w:w="1512"/>
            <w:vAlign w:val="center"/>
            <w:tcMar>
              <w:top w:w="100" w:type="dxa"/>
              <w:start w:w="120" w:type="dxa"/>
              <w:bottom w:w="100" w:type="dxa"/>
              <w:end w:w="120" w:type="dxa"/>
            </w:tcMar>
          </w:tcPr>
          <w:p>
            <w:pPr>
              <w:spacing w:after="0"/>
            </w:pPr>
            <w:r/>
            <w:r>
              <w:rPr>
                <w:rFonts w:ascii="Calibri" w:hAnsi="Calibri"/>
                <w:b w:val="0"/>
                <w:color w:val="1F2937"/>
                <w:sz w:val="17"/>
              </w:rPr>
              <w:t>Elliot Park</w:t>
            </w:r>
          </w:p>
        </w:tc>
        <w:tc>
          <w:tcPr>
            <w:tcW w:type="dxa" w:w="2232"/>
            <w:vAlign w:val="center"/>
            <w:tcMar>
              <w:top w:w="100" w:type="dxa"/>
              <w:start w:w="120" w:type="dxa"/>
              <w:bottom w:w="100" w:type="dxa"/>
              <w:end w:w="120" w:type="dxa"/>
            </w:tcMar>
          </w:tcPr>
          <w:p>
            <w:pPr>
              <w:spacing w:after="0"/>
            </w:pPr>
            <w:r/>
            <w:r>
              <w:rPr>
                <w:rFonts w:ascii="Calibri" w:hAnsi="Calibri"/>
                <w:b w:val="0"/>
                <w:color w:val="1F2937"/>
                <w:sz w:val="17"/>
              </w:rPr>
              <w:t>Notification timing follows mutually agreed incident plan.</w:t>
            </w:r>
          </w:p>
        </w:tc>
      </w:tr>
      <w:tr>
        <w:tc>
          <w:tcPr>
            <w:tcW w:type="dxa" w:w="1800"/>
            <w:vAlign w:val="center"/>
            <w:tcMar>
              <w:top w:w="100" w:type="dxa"/>
              <w:start w:w="120" w:type="dxa"/>
              <w:bottom w:w="100" w:type="dxa"/>
              <w:end w:w="120" w:type="dxa"/>
            </w:tcMar>
          </w:tcPr>
          <w:p>
            <w:pPr>
              <w:spacing w:after="0"/>
            </w:pPr>
            <w:r/>
            <w:r>
              <w:rPr>
                <w:rFonts w:ascii="Calibri" w:hAnsi="Calibri"/>
                <w:b w:val="0"/>
                <w:color w:val="1F2937"/>
                <w:sz w:val="17"/>
              </w:rPr>
              <w:t>Continuity</w:t>
            </w:r>
          </w:p>
        </w:tc>
        <w:tc>
          <w:tcPr>
            <w:tcW w:type="dxa" w:w="3816"/>
            <w:vAlign w:val="center"/>
            <w:tcMar>
              <w:top w:w="100" w:type="dxa"/>
              <w:start w:w="120" w:type="dxa"/>
              <w:bottom w:w="100" w:type="dxa"/>
              <w:end w:w="120" w:type="dxa"/>
            </w:tcMar>
          </w:tcPr>
          <w:p>
            <w:pPr>
              <w:spacing w:after="0"/>
            </w:pPr>
            <w:r/>
            <w:r>
              <w:rPr>
                <w:rFonts w:ascii="Calibri" w:hAnsi="Calibri"/>
                <w:b w:val="0"/>
                <w:color w:val="1F2937"/>
                <w:sz w:val="17"/>
              </w:rPr>
              <w:t>Recovery runbook and restoration exercise for scoped service components.</w:t>
            </w:r>
          </w:p>
        </w:tc>
        <w:tc>
          <w:tcPr>
            <w:tcW w:type="dxa" w:w="1512"/>
            <w:vAlign w:val="center"/>
            <w:tcMar>
              <w:top w:w="100" w:type="dxa"/>
              <w:start w:w="120" w:type="dxa"/>
              <w:bottom w:w="100" w:type="dxa"/>
              <w:end w:w="120" w:type="dxa"/>
            </w:tcMar>
          </w:tcPr>
          <w:p>
            <w:pPr>
              <w:spacing w:after="0"/>
            </w:pPr>
            <w:r/>
            <w:r>
              <w:rPr>
                <w:rFonts w:ascii="Calibri" w:hAnsi="Calibri"/>
                <w:b w:val="0"/>
                <w:color w:val="1F2937"/>
                <w:sz w:val="17"/>
              </w:rPr>
              <w:t>Elliot Park</w:t>
            </w:r>
          </w:p>
        </w:tc>
        <w:tc>
          <w:tcPr>
            <w:tcW w:type="dxa" w:w="2232"/>
            <w:vAlign w:val="center"/>
            <w:tcMar>
              <w:top w:w="100" w:type="dxa"/>
              <w:start w:w="120" w:type="dxa"/>
              <w:bottom w:w="100" w:type="dxa"/>
              <w:end w:w="120" w:type="dxa"/>
            </w:tcMar>
          </w:tcPr>
          <w:p>
            <w:pPr>
              <w:spacing w:after="0"/>
            </w:pPr>
            <w:r/>
            <w:r>
              <w:rPr>
                <w:rFonts w:ascii="Calibri" w:hAnsi="Calibri"/>
                <w:b w:val="0"/>
                <w:color w:val="1F2937"/>
                <w:sz w:val="17"/>
              </w:rPr>
              <w:t>Customer-owned integrations remain customer-controlled.</w:t>
            </w:r>
          </w:p>
        </w:tc>
      </w:tr>
    </w:tbl>
    <w:p>
      <w:pPr>
        <w:pStyle w:val="Heading1"/>
      </w:pPr>
      <w:r>
        <w:t>4. Service objective and exceptions</w:t>
      </w:r>
    </w:p>
    <w:p>
      <w:r>
        <w:t>The internal 99.95% service objective applies to the Northstar Cloud scoped service, measured monthly. Planned maintenance, customer-controlled integrations, customer configuration changes, and force-majeure events are documented exclusions for reporting purposes. This is an operating objective, not a service-level certification or a guarantee beyond the executed agreement.</w:t>
      </w:r>
    </w:p>
    <w:p>
      <w:pPr>
        <w:pStyle w:val="Heading1"/>
      </w:pPr>
      <w:r>
        <w:t>5. Owner confirmation</w:t>
      </w:r>
    </w:p>
    <w:p>
      <w:r>
        <w:t>Owner: Elliot Park. This fictional response is internally coordinated for Account Alpha and is intended to be read with the final submission PDF, capability matrix, executive summary, and requirements tracker.</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Northstar Cloud - Fictional procurement response | 17 July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6"/>
      </w:rPr>
      <w:t>Northstar Cloud | Account Alpha | Security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F6BFF"/>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F6BFF"/>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