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b/>
          <w:color w:val="18A999"/>
          <w:sz w:val="24"/>
        </w:rPr>
        <w:t>NORTHSTAR CLOUD</w:t>
      </w:r>
    </w:p>
    <w:p>
      <w:pPr>
        <w:spacing w:after="80"/>
        <w:jc w:val="center"/>
      </w:pPr>
      <w:r>
        <w:rPr>
          <w:b/>
          <w:color w:val="0B1F3A"/>
          <w:sz w:val="48"/>
        </w:rPr>
        <w:t>Implementation Response</w:t>
      </w:r>
    </w:p>
    <w:p>
      <w:pPr>
        <w:spacing w:after="320"/>
        <w:jc w:val="center"/>
      </w:pPr>
      <w:r>
        <w:rPr>
          <w:color w:val="4B5563"/>
          <w:sz w:val="24"/>
        </w:rPr>
        <w:t>Account Alpha renewal and procurement</w:t>
      </w:r>
    </w:p>
    <w:tbl>
      <w:tblPr>
        <w:tblStyle w:val="TableGrid"/>
        <w:tblW w:type="auto" w:w="0"/>
        <w:jc w:val="left"/>
        <w:tblLayout w:type="fixed"/>
        <w:tblLook w:firstColumn="1" w:firstRow="1" w:lastColumn="0" w:lastRow="0" w:noHBand="0" w:noVBand="1" w:val="04A0"/>
        <w:tblLayout w:type="fixed"/>
      </w:tblPr>
      <w:tblGrid>
        <w:gridCol w:w="3120"/>
        <w:gridCol w:w="3120"/>
        <w:gridCol w:w="3120"/>
      </w:tblGrid>
      <w:tr>
        <w:tc>
          <w:tcPr>
            <w:tcW w:type="dxa" w:w="3096"/>
            <w:shd w:fill="F4F6F8"/>
            <w:vAlign w:val="center"/>
            <w:tcMar>
              <w:top w:w="100" w:type="dxa"/>
              <w:start w:w="120" w:type="dxa"/>
              <w:bottom w:w="100" w:type="dxa"/>
              <w:end w:w="120" w:type="dxa"/>
            </w:tcMar>
          </w:tcPr>
          <w:p>
            <w:pPr>
              <w:spacing w:after="0"/>
            </w:pPr>
            <w:r/>
            <w:r>
              <w:rPr>
                <w:rFonts w:ascii="Calibri" w:hAnsi="Calibri"/>
                <w:b/>
                <w:color w:val="0B1F3A"/>
                <w:sz w:val="18"/>
              </w:rPr>
              <w:t>Prepared for</w:t>
            </w:r>
          </w:p>
        </w:tc>
        <w:tc>
          <w:tcPr>
            <w:tcW w:type="dxa" w:w="3096"/>
            <w:shd w:fill="F4F6F8"/>
            <w:vAlign w:val="center"/>
            <w:tcMar>
              <w:top w:w="100" w:type="dxa"/>
              <w:start w:w="120" w:type="dxa"/>
              <w:bottom w:w="100" w:type="dxa"/>
              <w:end w:w="120" w:type="dxa"/>
            </w:tcMar>
          </w:tcPr>
          <w:p>
            <w:pPr>
              <w:spacing w:after="0"/>
            </w:pPr>
            <w:r/>
            <w:r>
              <w:rPr>
                <w:rFonts w:ascii="Calibri" w:hAnsi="Calibri"/>
                <w:b/>
                <w:color w:val="0B1F3A"/>
                <w:sz w:val="18"/>
              </w:rPr>
              <w:t>Prepared by</w:t>
            </w:r>
          </w:p>
        </w:tc>
        <w:tc>
          <w:tcPr>
            <w:tcW w:type="dxa" w:w="3168"/>
            <w:shd w:fill="F4F6F8"/>
            <w:vAlign w:val="center"/>
            <w:tcMar>
              <w:top w:w="100" w:type="dxa"/>
              <w:start w:w="120" w:type="dxa"/>
              <w:bottom w:w="100" w:type="dxa"/>
              <w:end w:w="120" w:type="dxa"/>
            </w:tcMar>
          </w:tcPr>
          <w:p>
            <w:pPr>
              <w:spacing w:after="0"/>
            </w:pPr>
            <w:r/>
            <w:r>
              <w:rPr>
                <w:rFonts w:ascii="Calibri" w:hAnsi="Calibri"/>
                <w:b/>
                <w:color w:val="0B1F3A"/>
                <w:sz w:val="18"/>
              </w:rPr>
              <w:t>Issue date</w:t>
            </w:r>
          </w:p>
        </w:tc>
      </w:tr>
      <w:tr>
        <w:tc>
          <w:tcPr>
            <w:tcW w:type="dxa" w:w="3096"/>
            <w:vAlign w:val="center"/>
            <w:tcMar>
              <w:top w:w="100" w:type="dxa"/>
              <w:start w:w="120" w:type="dxa"/>
              <w:bottom w:w="100" w:type="dxa"/>
              <w:end w:w="120" w:type="dxa"/>
            </w:tcMar>
          </w:tcPr>
          <w:p>
            <w:pPr>
              <w:spacing w:after="0"/>
            </w:pPr>
            <w:r/>
            <w:r>
              <w:rPr>
                <w:rFonts w:ascii="Calibri" w:hAnsi="Calibri"/>
                <w:b w:val="0"/>
                <w:color w:val="1F2937"/>
                <w:sz w:val="17"/>
              </w:rPr>
              <w:t>Account Alpha</w:t>
            </w:r>
          </w:p>
        </w:tc>
        <w:tc>
          <w:tcPr>
            <w:tcW w:type="dxa" w:w="3096"/>
            <w:vAlign w:val="center"/>
            <w:tcMar>
              <w:top w:w="100" w:type="dxa"/>
              <w:start w:w="120" w:type="dxa"/>
              <w:bottom w:w="100" w:type="dxa"/>
              <w:end w:w="120" w:type="dxa"/>
            </w:tcMar>
          </w:tcPr>
          <w:p>
            <w:pPr>
              <w:spacing w:after="0"/>
            </w:pPr>
            <w:r/>
            <w:r>
              <w:rPr>
                <w:rFonts w:ascii="Calibri" w:hAnsi="Calibri"/>
                <w:b w:val="0"/>
                <w:color w:val="1F2937"/>
                <w:sz w:val="17"/>
              </w:rPr>
              <w:t>Rowan Mercer, Account Executive</w:t>
            </w:r>
          </w:p>
        </w:tc>
        <w:tc>
          <w:tcPr>
            <w:tcW w:type="dxa" w:w="3168"/>
            <w:vAlign w:val="center"/>
            <w:tcMar>
              <w:top w:w="100" w:type="dxa"/>
              <w:start w:w="120" w:type="dxa"/>
              <w:bottom w:w="100" w:type="dxa"/>
              <w:end w:w="120" w:type="dxa"/>
            </w:tcMar>
          </w:tcPr>
          <w:p>
            <w:pPr>
              <w:spacing w:after="0"/>
            </w:pPr>
            <w:r/>
            <w:r>
              <w:rPr>
                <w:rFonts w:ascii="Calibri" w:hAnsi="Calibri"/>
                <w:b w:val="0"/>
                <w:color w:val="1F2937"/>
                <w:sz w:val="17"/>
              </w:rPr>
              <w:t>17 July 2026</w:t>
            </w:r>
          </w:p>
        </w:tc>
      </w:tr>
    </w:tbl>
    <w:p>
      <w:pPr>
        <w:pStyle w:val="Heading1"/>
      </w:pPr>
      <w:r>
        <w:t>1. Response position</w:t>
      </w:r>
    </w:p>
    <w:p>
      <w:r>
        <w:t>Northstar Cloud proposes a 12-week, jointly governed implementation beginning after commercial execution and access readiness. The plan is designed to move Account Alpha from mobilization through production acceptance with named decision points and documented exceptions.</w:t>
      </w:r>
    </w:p>
    <w:p>
      <w:pPr>
        <w:pStyle w:val="Heading1"/>
      </w:pPr>
      <w:r>
        <w:t>2. Shared engagement anchors</w:t>
      </w:r>
    </w:p>
    <w:tbl>
      <w:tblPr>
        <w:tblStyle w:val="TableGrid"/>
        <w:tblW w:type="auto" w:w="0"/>
        <w:jc w:val="left"/>
        <w:tblLayout w:type="fixed"/>
        <w:tblLook w:firstColumn="1" w:firstRow="1" w:lastColumn="0" w:lastRow="0" w:noHBand="0" w:noVBand="1" w:val="04A0"/>
        <w:tblLayout w:type="fixed"/>
      </w:tblPr>
      <w:tblGrid>
        <w:gridCol w:w="2340"/>
        <w:gridCol w:w="2340"/>
        <w:gridCol w:w="2340"/>
        <w:gridCol w:w="2340"/>
      </w:tblGrid>
      <w:tr>
        <w:tc>
          <w:tcPr>
            <w:tcW w:type="dxa" w:w="1944"/>
            <w:shd w:fill="F4F6F8"/>
            <w:vAlign w:val="center"/>
            <w:tcMar>
              <w:top w:w="100" w:type="dxa"/>
              <w:start w:w="120" w:type="dxa"/>
              <w:bottom w:w="100" w:type="dxa"/>
              <w:end w:w="120" w:type="dxa"/>
            </w:tcMar>
          </w:tcPr>
          <w:p>
            <w:pPr>
              <w:spacing w:after="0"/>
            </w:pPr>
            <w:r/>
            <w:r>
              <w:rPr>
                <w:rFonts w:ascii="Calibri" w:hAnsi="Calibri"/>
                <w:b/>
                <w:color w:val="0B1F3A"/>
                <w:sz w:val="18"/>
              </w:rPr>
              <w:t>Anchor</w:t>
            </w:r>
          </w:p>
        </w:tc>
        <w:tc>
          <w:tcPr>
            <w:tcW w:type="dxa" w:w="3528"/>
            <w:shd w:fill="F4F6F8"/>
            <w:vAlign w:val="center"/>
            <w:tcMar>
              <w:top w:w="100" w:type="dxa"/>
              <w:start w:w="120" w:type="dxa"/>
              <w:bottom w:w="100" w:type="dxa"/>
              <w:end w:w="120" w:type="dxa"/>
            </w:tcMar>
          </w:tcPr>
          <w:p>
            <w:pPr>
              <w:spacing w:after="0"/>
            </w:pPr>
            <w:r/>
            <w:r>
              <w:rPr>
                <w:rFonts w:ascii="Calibri" w:hAnsi="Calibri"/>
                <w:b/>
                <w:color w:val="0B1F3A"/>
                <w:sz w:val="18"/>
              </w:rPr>
              <w:t>Commitment</w:t>
            </w:r>
          </w:p>
        </w:tc>
        <w:tc>
          <w:tcPr>
            <w:tcW w:type="dxa" w:w="1728"/>
            <w:shd w:fill="F4F6F8"/>
            <w:vAlign w:val="center"/>
            <w:tcMar>
              <w:top w:w="100" w:type="dxa"/>
              <w:start w:w="120" w:type="dxa"/>
              <w:bottom w:w="100" w:type="dxa"/>
              <w:end w:w="120" w:type="dxa"/>
            </w:tcMar>
          </w:tcPr>
          <w:p>
            <w:pPr>
              <w:spacing w:after="0"/>
            </w:pPr>
            <w:r/>
            <w:r>
              <w:rPr>
                <w:rFonts w:ascii="Calibri" w:hAnsi="Calibri"/>
                <w:b/>
                <w:color w:val="0B1F3A"/>
                <w:sz w:val="18"/>
              </w:rPr>
              <w:t>Owner</w:t>
            </w:r>
          </w:p>
        </w:tc>
        <w:tc>
          <w:tcPr>
            <w:tcW w:type="dxa" w:w="2160"/>
            <w:shd w:fill="F4F6F8"/>
            <w:vAlign w:val="center"/>
            <w:tcMar>
              <w:top w:w="100" w:type="dxa"/>
              <w:start w:w="120" w:type="dxa"/>
              <w:bottom w:w="100" w:type="dxa"/>
              <w:end w:w="120" w:type="dxa"/>
            </w:tcMar>
          </w:tcPr>
          <w:p>
            <w:pPr>
              <w:spacing w:after="0"/>
            </w:pPr>
            <w:r/>
            <w:r>
              <w:rPr>
                <w:rFonts w:ascii="Calibri" w:hAnsi="Calibri"/>
                <w:b/>
                <w:color w:val="0B1F3A"/>
                <w:sz w:val="18"/>
              </w:rPr>
              <w:t>Exception / cross-reference</w:t>
            </w:r>
          </w:p>
        </w:tc>
      </w:tr>
      <w:tr>
        <w:tc>
          <w:tcPr>
            <w:tcW w:type="dxa" w:w="1944"/>
            <w:vAlign w:val="center"/>
            <w:tcMar>
              <w:top w:w="100" w:type="dxa"/>
              <w:start w:w="120" w:type="dxa"/>
              <w:bottom w:w="100" w:type="dxa"/>
              <w:end w:w="120" w:type="dxa"/>
            </w:tcMar>
          </w:tcPr>
          <w:p>
            <w:pPr>
              <w:spacing w:after="0"/>
            </w:pPr>
            <w:r/>
            <w:r>
              <w:rPr>
                <w:rFonts w:ascii="Calibri" w:hAnsi="Calibri"/>
                <w:b w:val="0"/>
                <w:color w:val="1F2937"/>
                <w:sz w:val="17"/>
              </w:rPr>
              <w:t>Term</w:t>
            </w:r>
          </w:p>
        </w:tc>
        <w:tc>
          <w:tcPr>
            <w:tcW w:type="dxa" w:w="3528"/>
            <w:vAlign w:val="center"/>
            <w:tcMar>
              <w:top w:w="100" w:type="dxa"/>
              <w:start w:w="120" w:type="dxa"/>
              <w:bottom w:w="100" w:type="dxa"/>
              <w:end w:w="120" w:type="dxa"/>
            </w:tcMar>
          </w:tcPr>
          <w:p>
            <w:pPr>
              <w:spacing w:after="0"/>
            </w:pPr>
            <w:r/>
            <w:r>
              <w:rPr>
                <w:rFonts w:ascii="Calibri" w:hAnsi="Calibri"/>
                <w:b w:val="0"/>
                <w:color w:val="1F2937"/>
                <w:sz w:val="17"/>
              </w:rPr>
              <w:t>18 Jul 2026 - 17 Jul 2027</w:t>
            </w:r>
          </w:p>
        </w:tc>
        <w:tc>
          <w:tcPr>
            <w:tcW w:type="dxa" w:w="1728"/>
            <w:vAlign w:val="center"/>
            <w:tcMar>
              <w:top w:w="100" w:type="dxa"/>
              <w:start w:w="120" w:type="dxa"/>
              <w:bottom w:w="100" w:type="dxa"/>
              <w:end w:w="120" w:type="dxa"/>
            </w:tcMar>
          </w:tcPr>
          <w:p>
            <w:pPr>
              <w:spacing w:after="0"/>
            </w:pPr>
            <w:r/>
            <w:r>
              <w:rPr>
                <w:rFonts w:ascii="Calibri" w:hAnsi="Calibri"/>
                <w:b w:val="0"/>
                <w:color w:val="1F2937"/>
                <w:sz w:val="17"/>
              </w:rPr>
              <w:t>Rowan Mercer</w:t>
            </w:r>
          </w:p>
        </w:tc>
        <w:tc>
          <w:tcPr>
            <w:tcW w:type="dxa" w:w="2160"/>
            <w:vAlign w:val="center"/>
            <w:tcMar>
              <w:top w:w="100" w:type="dxa"/>
              <w:start w:w="120" w:type="dxa"/>
              <w:bottom w:w="100" w:type="dxa"/>
              <w:end w:w="120" w:type="dxa"/>
            </w:tcMar>
          </w:tcPr>
          <w:p>
            <w:pPr>
              <w:spacing w:after="0"/>
            </w:pPr>
            <w:r/>
            <w:r>
              <w:rPr>
                <w:rFonts w:ascii="Calibri" w:hAnsi="Calibri"/>
                <w:b w:val="0"/>
                <w:color w:val="1F2937"/>
                <w:sz w:val="17"/>
              </w:rPr>
              <w:t>Commercial Response §2</w:t>
            </w:r>
          </w:p>
        </w:tc>
      </w:tr>
      <w:tr>
        <w:tc>
          <w:tcPr>
            <w:tcW w:type="dxa" w:w="1944"/>
            <w:vAlign w:val="center"/>
            <w:tcMar>
              <w:top w:w="100" w:type="dxa"/>
              <w:start w:w="120" w:type="dxa"/>
              <w:bottom w:w="100" w:type="dxa"/>
              <w:end w:w="120" w:type="dxa"/>
            </w:tcMar>
          </w:tcPr>
          <w:p>
            <w:pPr>
              <w:spacing w:after="0"/>
            </w:pPr>
            <w:r/>
            <w:r>
              <w:rPr>
                <w:rFonts w:ascii="Calibri" w:hAnsi="Calibri"/>
                <w:b w:val="0"/>
                <w:color w:val="1F2937"/>
                <w:sz w:val="17"/>
              </w:rPr>
              <w:t>Annual amount</w:t>
            </w:r>
          </w:p>
        </w:tc>
        <w:tc>
          <w:tcPr>
            <w:tcW w:type="dxa" w:w="3528"/>
            <w:vAlign w:val="center"/>
            <w:tcMar>
              <w:top w:w="100" w:type="dxa"/>
              <w:start w:w="120" w:type="dxa"/>
              <w:bottom w:w="100" w:type="dxa"/>
              <w:end w:w="120" w:type="dxa"/>
            </w:tcMar>
          </w:tcPr>
          <w:p>
            <w:pPr>
              <w:spacing w:after="0"/>
            </w:pPr>
            <w:r/>
            <w:r>
              <w:rPr>
                <w:rFonts w:ascii="Calibri" w:hAnsi="Calibri"/>
                <w:b w:val="0"/>
                <w:color w:val="1F2937"/>
                <w:sz w:val="17"/>
              </w:rPr>
              <w:t>USD 248,000 approved</w:t>
            </w:r>
          </w:p>
        </w:tc>
        <w:tc>
          <w:tcPr>
            <w:tcW w:type="dxa" w:w="1728"/>
            <w:vAlign w:val="center"/>
            <w:tcMar>
              <w:top w:w="100" w:type="dxa"/>
              <w:start w:w="120" w:type="dxa"/>
              <w:bottom w:w="100" w:type="dxa"/>
              <w:end w:w="120" w:type="dxa"/>
            </w:tcMar>
          </w:tcPr>
          <w:p>
            <w:pPr>
              <w:spacing w:after="0"/>
            </w:pPr>
            <w:r/>
            <w:r>
              <w:rPr>
                <w:rFonts w:ascii="Calibri" w:hAnsi="Calibri"/>
                <w:b w:val="0"/>
                <w:color w:val="1F2937"/>
                <w:sz w:val="17"/>
              </w:rPr>
              <w:t>Priya Noland</w:t>
            </w:r>
          </w:p>
        </w:tc>
        <w:tc>
          <w:tcPr>
            <w:tcW w:type="dxa" w:w="2160"/>
            <w:vAlign w:val="center"/>
            <w:tcMar>
              <w:top w:w="100" w:type="dxa"/>
              <w:start w:w="120" w:type="dxa"/>
              <w:bottom w:w="100" w:type="dxa"/>
              <w:end w:w="120" w:type="dxa"/>
            </w:tcMar>
          </w:tcPr>
          <w:p>
            <w:pPr>
              <w:spacing w:after="0"/>
            </w:pPr>
            <w:r/>
            <w:r>
              <w:rPr>
                <w:rFonts w:ascii="Calibri" w:hAnsi="Calibri"/>
                <w:b w:val="0"/>
                <w:color w:val="1F2937"/>
                <w:sz w:val="17"/>
              </w:rPr>
              <w:t>Commercial Response §3</w:t>
            </w:r>
          </w:p>
        </w:tc>
      </w:tr>
      <w:tr>
        <w:tc>
          <w:tcPr>
            <w:tcW w:type="dxa" w:w="1944"/>
            <w:vAlign w:val="center"/>
            <w:tcMar>
              <w:top w:w="100" w:type="dxa"/>
              <w:start w:w="120" w:type="dxa"/>
              <w:bottom w:w="100" w:type="dxa"/>
              <w:end w:w="120" w:type="dxa"/>
            </w:tcMar>
          </w:tcPr>
          <w:p>
            <w:pPr>
              <w:spacing w:after="0"/>
            </w:pPr>
            <w:r/>
            <w:r>
              <w:rPr>
                <w:rFonts w:ascii="Calibri" w:hAnsi="Calibri"/>
                <w:b w:val="0"/>
                <w:color w:val="1F2937"/>
                <w:sz w:val="17"/>
              </w:rPr>
              <w:t>Service objective</w:t>
            </w:r>
          </w:p>
        </w:tc>
        <w:tc>
          <w:tcPr>
            <w:tcW w:type="dxa" w:w="3528"/>
            <w:vAlign w:val="center"/>
            <w:tcMar>
              <w:top w:w="100" w:type="dxa"/>
              <w:start w:w="120" w:type="dxa"/>
              <w:bottom w:w="100" w:type="dxa"/>
              <w:end w:w="120" w:type="dxa"/>
            </w:tcMar>
          </w:tcPr>
          <w:p>
            <w:pPr>
              <w:spacing w:after="0"/>
            </w:pPr>
            <w:r/>
            <w:r>
              <w:rPr>
                <w:rFonts w:ascii="Calibri" w:hAnsi="Calibri"/>
                <w:b w:val="0"/>
                <w:color w:val="1F2937"/>
                <w:sz w:val="17"/>
              </w:rPr>
              <w:t>Internal 99.95% service objective</w:t>
            </w:r>
          </w:p>
        </w:tc>
        <w:tc>
          <w:tcPr>
            <w:tcW w:type="dxa" w:w="1728"/>
            <w:vAlign w:val="center"/>
            <w:tcMar>
              <w:top w:w="100" w:type="dxa"/>
              <w:start w:w="120" w:type="dxa"/>
              <w:bottom w:w="100" w:type="dxa"/>
              <w:end w:w="120" w:type="dxa"/>
            </w:tcMar>
          </w:tcPr>
          <w:p>
            <w:pPr>
              <w:spacing w:after="0"/>
            </w:pPr>
            <w:r/>
            <w:r>
              <w:rPr>
                <w:rFonts w:ascii="Calibri" w:hAnsi="Calibri"/>
                <w:b w:val="0"/>
                <w:color w:val="1F2937"/>
                <w:sz w:val="17"/>
              </w:rPr>
              <w:t>Elliot Park</w:t>
            </w:r>
          </w:p>
        </w:tc>
        <w:tc>
          <w:tcPr>
            <w:tcW w:type="dxa" w:w="2160"/>
            <w:vAlign w:val="center"/>
            <w:tcMar>
              <w:top w:w="100" w:type="dxa"/>
              <w:start w:w="120" w:type="dxa"/>
              <w:bottom w:w="100" w:type="dxa"/>
              <w:end w:w="120" w:type="dxa"/>
            </w:tcMar>
          </w:tcPr>
          <w:p>
            <w:pPr>
              <w:spacing w:after="0"/>
            </w:pPr>
            <w:r/>
            <w:r>
              <w:rPr>
                <w:rFonts w:ascii="Calibri" w:hAnsi="Calibri"/>
                <w:b w:val="0"/>
                <w:color w:val="1F2937"/>
                <w:sz w:val="17"/>
              </w:rPr>
              <w:t>Security Response §3</w:t>
            </w:r>
          </w:p>
        </w:tc>
      </w:tr>
      <w:tr>
        <w:tc>
          <w:tcPr>
            <w:tcW w:type="dxa" w:w="1944"/>
            <w:vAlign w:val="center"/>
            <w:tcMar>
              <w:top w:w="100" w:type="dxa"/>
              <w:start w:w="120" w:type="dxa"/>
              <w:bottom w:w="100" w:type="dxa"/>
              <w:end w:w="120" w:type="dxa"/>
            </w:tcMar>
          </w:tcPr>
          <w:p>
            <w:pPr>
              <w:spacing w:after="0"/>
            </w:pPr>
            <w:r/>
            <w:r>
              <w:rPr>
                <w:rFonts w:ascii="Calibri" w:hAnsi="Calibri"/>
                <w:b w:val="0"/>
                <w:color w:val="1F2937"/>
                <w:sz w:val="17"/>
              </w:rPr>
              <w:t>Customer contacts</w:t>
            </w:r>
          </w:p>
        </w:tc>
        <w:tc>
          <w:tcPr>
            <w:tcW w:type="dxa" w:w="3528"/>
            <w:vAlign w:val="center"/>
            <w:tcMar>
              <w:top w:w="100" w:type="dxa"/>
              <w:start w:w="120" w:type="dxa"/>
              <w:bottom w:w="100" w:type="dxa"/>
              <w:end w:w="120" w:type="dxa"/>
            </w:tcMar>
          </w:tcPr>
          <w:p>
            <w:pPr>
              <w:spacing w:after="0"/>
            </w:pPr>
            <w:r/>
            <w:r>
              <w:rPr>
                <w:rFonts w:ascii="Calibri" w:hAnsi="Calibri"/>
                <w:b w:val="0"/>
                <w:color w:val="1F2937"/>
                <w:sz w:val="17"/>
              </w:rPr>
              <w:t>Avery Sloan and Morgan Hale</w:t>
            </w:r>
          </w:p>
        </w:tc>
        <w:tc>
          <w:tcPr>
            <w:tcW w:type="dxa" w:w="1728"/>
            <w:vAlign w:val="center"/>
            <w:tcMar>
              <w:top w:w="100" w:type="dxa"/>
              <w:start w:w="120" w:type="dxa"/>
              <w:bottom w:w="100" w:type="dxa"/>
              <w:end w:w="120" w:type="dxa"/>
            </w:tcMar>
          </w:tcPr>
          <w:p>
            <w:pPr>
              <w:spacing w:after="0"/>
            </w:pPr>
            <w:r/>
            <w:r>
              <w:rPr>
                <w:rFonts w:ascii="Calibri" w:hAnsi="Calibri"/>
                <w:b w:val="0"/>
                <w:color w:val="1F2937"/>
                <w:sz w:val="17"/>
              </w:rPr>
              <w:t>Rowan Mercer</w:t>
            </w:r>
          </w:p>
        </w:tc>
        <w:tc>
          <w:tcPr>
            <w:tcW w:type="dxa" w:w="2160"/>
            <w:vAlign w:val="center"/>
            <w:tcMar>
              <w:top w:w="100" w:type="dxa"/>
              <w:start w:w="120" w:type="dxa"/>
              <w:bottom w:w="100" w:type="dxa"/>
              <w:end w:w="120" w:type="dxa"/>
            </w:tcMar>
          </w:tcPr>
          <w:p>
            <w:pPr>
              <w:spacing w:after="0"/>
            </w:pPr>
            <w:r/>
            <w:r>
              <w:rPr>
                <w:rFonts w:ascii="Calibri" w:hAnsi="Calibri"/>
                <w:b w:val="0"/>
                <w:color w:val="1F2937"/>
                <w:sz w:val="17"/>
              </w:rPr>
              <w:t>Implementation Response §2</w:t>
            </w:r>
          </w:p>
        </w:tc>
      </w:tr>
    </w:tbl>
    <w:p>
      <w:pPr>
        <w:pStyle w:val="Heading1"/>
      </w:pPr>
      <w:r>
        <w:t>3. Twelve-week delivery plan</w:t>
      </w:r>
    </w:p>
    <w:tbl>
      <w:tblPr>
        <w:tblStyle w:val="TableGrid"/>
        <w:tblW w:type="auto" w:w="0"/>
        <w:jc w:val="left"/>
        <w:tblLayout w:type="fixed"/>
        <w:tblLook w:firstColumn="1" w:firstRow="1" w:lastColumn="0" w:lastRow="0" w:noHBand="0" w:noVBand="1" w:val="04A0"/>
        <w:tblLayout w:type="fixed"/>
      </w:tblPr>
      <w:tblGrid>
        <w:gridCol w:w="2340"/>
        <w:gridCol w:w="2340"/>
        <w:gridCol w:w="2340"/>
        <w:gridCol w:w="2340"/>
      </w:tblGrid>
      <w:tr>
        <w:tc>
          <w:tcPr>
            <w:tcW w:type="dxa" w:w="1152"/>
            <w:shd w:fill="F4F6F8"/>
            <w:vAlign w:val="center"/>
            <w:tcMar>
              <w:top w:w="100" w:type="dxa"/>
              <w:start w:w="120" w:type="dxa"/>
              <w:bottom w:w="100" w:type="dxa"/>
              <w:end w:w="120" w:type="dxa"/>
            </w:tcMar>
          </w:tcPr>
          <w:p>
            <w:pPr>
              <w:spacing w:after="0"/>
            </w:pPr>
            <w:r/>
            <w:r>
              <w:rPr>
                <w:rFonts w:ascii="Calibri" w:hAnsi="Calibri"/>
                <w:b/>
                <w:color w:val="0B1F3A"/>
                <w:sz w:val="18"/>
              </w:rPr>
              <w:t>Weeks</w:t>
            </w:r>
          </w:p>
        </w:tc>
        <w:tc>
          <w:tcPr>
            <w:tcW w:type="dxa" w:w="3456"/>
            <w:shd w:fill="F4F6F8"/>
            <w:vAlign w:val="center"/>
            <w:tcMar>
              <w:top w:w="100" w:type="dxa"/>
              <w:start w:w="120" w:type="dxa"/>
              <w:bottom w:w="100" w:type="dxa"/>
              <w:end w:w="120" w:type="dxa"/>
            </w:tcMar>
          </w:tcPr>
          <w:p>
            <w:pPr>
              <w:spacing w:after="0"/>
            </w:pPr>
            <w:r/>
            <w:r>
              <w:rPr>
                <w:rFonts w:ascii="Calibri" w:hAnsi="Calibri"/>
                <w:b/>
                <w:color w:val="0B1F3A"/>
                <w:sz w:val="18"/>
              </w:rPr>
              <w:t>Outcome</w:t>
            </w:r>
          </w:p>
        </w:tc>
        <w:tc>
          <w:tcPr>
            <w:tcW w:type="dxa" w:w="1944"/>
            <w:shd w:fill="F4F6F8"/>
            <w:vAlign w:val="center"/>
            <w:tcMar>
              <w:top w:w="100" w:type="dxa"/>
              <w:start w:w="120" w:type="dxa"/>
              <w:bottom w:w="100" w:type="dxa"/>
              <w:end w:w="120" w:type="dxa"/>
            </w:tcMar>
          </w:tcPr>
          <w:p>
            <w:pPr>
              <w:spacing w:after="0"/>
            </w:pPr>
            <w:r/>
            <w:r>
              <w:rPr>
                <w:rFonts w:ascii="Calibri" w:hAnsi="Calibri"/>
                <w:b/>
                <w:color w:val="0B1F3A"/>
                <w:sz w:val="18"/>
              </w:rPr>
              <w:t>Northstar owner</w:t>
            </w:r>
          </w:p>
        </w:tc>
        <w:tc>
          <w:tcPr>
            <w:tcW w:type="dxa" w:w="2808"/>
            <w:shd w:fill="F4F6F8"/>
            <w:vAlign w:val="center"/>
            <w:tcMar>
              <w:top w:w="100" w:type="dxa"/>
              <w:start w:w="120" w:type="dxa"/>
              <w:bottom w:w="100" w:type="dxa"/>
              <w:end w:w="120" w:type="dxa"/>
            </w:tcMar>
          </w:tcPr>
          <w:p>
            <w:pPr>
              <w:spacing w:after="0"/>
            </w:pPr>
            <w:r/>
            <w:r>
              <w:rPr>
                <w:rFonts w:ascii="Calibri" w:hAnsi="Calibri"/>
                <w:b/>
                <w:color w:val="0B1F3A"/>
                <w:sz w:val="18"/>
              </w:rPr>
              <w:t>Account Alpha decision / exception</w:t>
            </w:r>
          </w:p>
        </w:tc>
      </w:tr>
      <w:tr>
        <w:tc>
          <w:tcPr>
            <w:tcW w:type="dxa" w:w="1152"/>
            <w:vAlign w:val="center"/>
            <w:tcMar>
              <w:top w:w="100" w:type="dxa"/>
              <w:start w:w="120" w:type="dxa"/>
              <w:bottom w:w="100" w:type="dxa"/>
              <w:end w:w="120" w:type="dxa"/>
            </w:tcMar>
          </w:tcPr>
          <w:p>
            <w:pPr>
              <w:spacing w:after="0"/>
            </w:pPr>
            <w:r/>
            <w:r>
              <w:rPr>
                <w:rFonts w:ascii="Calibri" w:hAnsi="Calibri"/>
                <w:b w:val="0"/>
                <w:color w:val="1F2937"/>
                <w:sz w:val="17"/>
              </w:rPr>
              <w:t>1-2</w:t>
            </w:r>
          </w:p>
        </w:tc>
        <w:tc>
          <w:tcPr>
            <w:tcW w:type="dxa" w:w="3456"/>
            <w:vAlign w:val="center"/>
            <w:tcMar>
              <w:top w:w="100" w:type="dxa"/>
              <w:start w:w="120" w:type="dxa"/>
              <w:bottom w:w="100" w:type="dxa"/>
              <w:end w:w="120" w:type="dxa"/>
            </w:tcMar>
          </w:tcPr>
          <w:p>
            <w:pPr>
              <w:spacing w:after="0"/>
            </w:pPr>
            <w:r/>
            <w:r>
              <w:rPr>
                <w:rFonts w:ascii="Calibri" w:hAnsi="Calibri"/>
                <w:b w:val="0"/>
                <w:color w:val="1F2937"/>
                <w:sz w:val="17"/>
              </w:rPr>
              <w:t>Mobilize, confirm scope and governance</w:t>
            </w:r>
          </w:p>
        </w:tc>
        <w:tc>
          <w:tcPr>
            <w:tcW w:type="dxa" w:w="1944"/>
            <w:vAlign w:val="center"/>
            <w:tcMar>
              <w:top w:w="100" w:type="dxa"/>
              <w:start w:w="120" w:type="dxa"/>
              <w:bottom w:w="100" w:type="dxa"/>
              <w:end w:w="120" w:type="dxa"/>
            </w:tcMar>
          </w:tcPr>
          <w:p>
            <w:pPr>
              <w:spacing w:after="0"/>
            </w:pPr>
            <w:r/>
            <w:r>
              <w:rPr>
                <w:rFonts w:ascii="Calibri" w:hAnsi="Calibri"/>
                <w:b w:val="0"/>
                <w:color w:val="1F2937"/>
                <w:sz w:val="17"/>
              </w:rPr>
              <w:t>Elliot Park</w:t>
            </w:r>
          </w:p>
        </w:tc>
        <w:tc>
          <w:tcPr>
            <w:tcW w:type="dxa" w:w="2808"/>
            <w:vAlign w:val="center"/>
            <w:tcMar>
              <w:top w:w="100" w:type="dxa"/>
              <w:start w:w="120" w:type="dxa"/>
              <w:bottom w:w="100" w:type="dxa"/>
              <w:end w:w="120" w:type="dxa"/>
            </w:tcMar>
          </w:tcPr>
          <w:p>
            <w:pPr>
              <w:spacing w:after="0"/>
            </w:pPr>
            <w:r/>
            <w:r>
              <w:rPr>
                <w:rFonts w:ascii="Calibri" w:hAnsi="Calibri"/>
                <w:b w:val="0"/>
                <w:color w:val="1F2937"/>
                <w:sz w:val="17"/>
              </w:rPr>
              <w:t>Avery Sloan confirms sponsors and access path</w:t>
            </w:r>
          </w:p>
        </w:tc>
      </w:tr>
      <w:tr>
        <w:tc>
          <w:tcPr>
            <w:tcW w:type="dxa" w:w="1152"/>
            <w:vAlign w:val="center"/>
            <w:tcMar>
              <w:top w:w="100" w:type="dxa"/>
              <w:start w:w="120" w:type="dxa"/>
              <w:bottom w:w="100" w:type="dxa"/>
              <w:end w:w="120" w:type="dxa"/>
            </w:tcMar>
          </w:tcPr>
          <w:p>
            <w:pPr>
              <w:spacing w:after="0"/>
            </w:pPr>
            <w:r/>
            <w:r>
              <w:rPr>
                <w:rFonts w:ascii="Calibri" w:hAnsi="Calibri"/>
                <w:b w:val="0"/>
                <w:color w:val="1F2937"/>
                <w:sz w:val="17"/>
              </w:rPr>
              <w:t>3-4</w:t>
            </w:r>
          </w:p>
        </w:tc>
        <w:tc>
          <w:tcPr>
            <w:tcW w:type="dxa" w:w="3456"/>
            <w:vAlign w:val="center"/>
            <w:tcMar>
              <w:top w:w="100" w:type="dxa"/>
              <w:start w:w="120" w:type="dxa"/>
              <w:bottom w:w="100" w:type="dxa"/>
              <w:end w:w="120" w:type="dxa"/>
            </w:tcMar>
          </w:tcPr>
          <w:p>
            <w:pPr>
              <w:spacing w:after="0"/>
            </w:pPr>
            <w:r/>
            <w:r>
              <w:rPr>
                <w:rFonts w:ascii="Calibri" w:hAnsi="Calibri"/>
                <w:b w:val="0"/>
                <w:color w:val="1F2937"/>
                <w:sz w:val="17"/>
              </w:rPr>
              <w:t>Design, security alignment, integration mapping</w:t>
            </w:r>
          </w:p>
        </w:tc>
        <w:tc>
          <w:tcPr>
            <w:tcW w:type="dxa" w:w="1944"/>
            <w:vAlign w:val="center"/>
            <w:tcMar>
              <w:top w:w="100" w:type="dxa"/>
              <w:start w:w="120" w:type="dxa"/>
              <w:bottom w:w="100" w:type="dxa"/>
              <w:end w:w="120" w:type="dxa"/>
            </w:tcMar>
          </w:tcPr>
          <w:p>
            <w:pPr>
              <w:spacing w:after="0"/>
            </w:pPr>
            <w:r/>
            <w:r>
              <w:rPr>
                <w:rFonts w:ascii="Calibri" w:hAnsi="Calibri"/>
                <w:b w:val="0"/>
                <w:color w:val="1F2937"/>
                <w:sz w:val="17"/>
              </w:rPr>
              <w:t>Elliot Park</w:t>
            </w:r>
          </w:p>
        </w:tc>
        <w:tc>
          <w:tcPr>
            <w:tcW w:type="dxa" w:w="2808"/>
            <w:vAlign w:val="center"/>
            <w:tcMar>
              <w:top w:w="100" w:type="dxa"/>
              <w:start w:w="120" w:type="dxa"/>
              <w:bottom w:w="100" w:type="dxa"/>
              <w:end w:w="120" w:type="dxa"/>
            </w:tcMar>
          </w:tcPr>
          <w:p>
            <w:pPr>
              <w:spacing w:after="0"/>
            </w:pPr>
            <w:r/>
            <w:r>
              <w:rPr>
                <w:rFonts w:ascii="Calibri" w:hAnsi="Calibri"/>
                <w:b w:val="0"/>
                <w:color w:val="1F2937"/>
                <w:sz w:val="17"/>
              </w:rPr>
              <w:t>Morgan Hale approves design exceptions</w:t>
            </w:r>
          </w:p>
        </w:tc>
      </w:tr>
      <w:tr>
        <w:tc>
          <w:tcPr>
            <w:tcW w:type="dxa" w:w="1152"/>
            <w:vAlign w:val="center"/>
            <w:tcMar>
              <w:top w:w="100" w:type="dxa"/>
              <w:start w:w="120" w:type="dxa"/>
              <w:bottom w:w="100" w:type="dxa"/>
              <w:end w:w="120" w:type="dxa"/>
            </w:tcMar>
          </w:tcPr>
          <w:p>
            <w:pPr>
              <w:spacing w:after="0"/>
            </w:pPr>
            <w:r/>
            <w:r>
              <w:rPr>
                <w:rFonts w:ascii="Calibri" w:hAnsi="Calibri"/>
                <w:b w:val="0"/>
                <w:color w:val="1F2937"/>
                <w:sz w:val="17"/>
              </w:rPr>
              <w:t>5-8</w:t>
            </w:r>
          </w:p>
        </w:tc>
        <w:tc>
          <w:tcPr>
            <w:tcW w:type="dxa" w:w="3456"/>
            <w:vAlign w:val="center"/>
            <w:tcMar>
              <w:top w:w="100" w:type="dxa"/>
              <w:start w:w="120" w:type="dxa"/>
              <w:bottom w:w="100" w:type="dxa"/>
              <w:end w:w="120" w:type="dxa"/>
            </w:tcMar>
          </w:tcPr>
          <w:p>
            <w:pPr>
              <w:spacing w:after="0"/>
            </w:pPr>
            <w:r/>
            <w:r>
              <w:rPr>
                <w:rFonts w:ascii="Calibri" w:hAnsi="Calibri"/>
                <w:b w:val="0"/>
                <w:color w:val="1F2937"/>
                <w:sz w:val="17"/>
              </w:rPr>
              <w:t>Configure, connect, validate workflows</w:t>
            </w:r>
          </w:p>
        </w:tc>
        <w:tc>
          <w:tcPr>
            <w:tcW w:type="dxa" w:w="1944"/>
            <w:vAlign w:val="center"/>
            <w:tcMar>
              <w:top w:w="100" w:type="dxa"/>
              <w:start w:w="120" w:type="dxa"/>
              <w:bottom w:w="100" w:type="dxa"/>
              <w:end w:w="120" w:type="dxa"/>
            </w:tcMar>
          </w:tcPr>
          <w:p>
            <w:pPr>
              <w:spacing w:after="0"/>
            </w:pPr>
            <w:r/>
            <w:r>
              <w:rPr>
                <w:rFonts w:ascii="Calibri" w:hAnsi="Calibri"/>
                <w:b w:val="0"/>
                <w:color w:val="1F2937"/>
                <w:sz w:val="17"/>
              </w:rPr>
              <w:t>Elliot Park</w:t>
            </w:r>
          </w:p>
        </w:tc>
        <w:tc>
          <w:tcPr>
            <w:tcW w:type="dxa" w:w="2808"/>
            <w:vAlign w:val="center"/>
            <w:tcMar>
              <w:top w:w="100" w:type="dxa"/>
              <w:start w:w="120" w:type="dxa"/>
              <w:bottom w:w="100" w:type="dxa"/>
              <w:end w:w="120" w:type="dxa"/>
            </w:tcMar>
          </w:tcPr>
          <w:p>
            <w:pPr>
              <w:spacing w:after="0"/>
            </w:pPr>
            <w:r/>
            <w:r>
              <w:rPr>
                <w:rFonts w:ascii="Calibri" w:hAnsi="Calibri"/>
                <w:b w:val="0"/>
                <w:color w:val="1F2937"/>
                <w:sz w:val="17"/>
              </w:rPr>
              <w:t>Customer test data and SMEs available</w:t>
            </w:r>
          </w:p>
        </w:tc>
      </w:tr>
      <w:tr>
        <w:tc>
          <w:tcPr>
            <w:tcW w:type="dxa" w:w="1152"/>
            <w:vAlign w:val="center"/>
            <w:tcMar>
              <w:top w:w="100" w:type="dxa"/>
              <w:start w:w="120" w:type="dxa"/>
              <w:bottom w:w="100" w:type="dxa"/>
              <w:end w:w="120" w:type="dxa"/>
            </w:tcMar>
          </w:tcPr>
          <w:p>
            <w:pPr>
              <w:spacing w:after="0"/>
            </w:pPr>
            <w:r/>
            <w:r>
              <w:rPr>
                <w:rFonts w:ascii="Calibri" w:hAnsi="Calibri"/>
                <w:b w:val="0"/>
                <w:color w:val="1F2937"/>
                <w:sz w:val="17"/>
              </w:rPr>
              <w:t>9-10</w:t>
            </w:r>
          </w:p>
        </w:tc>
        <w:tc>
          <w:tcPr>
            <w:tcW w:type="dxa" w:w="3456"/>
            <w:vAlign w:val="center"/>
            <w:tcMar>
              <w:top w:w="100" w:type="dxa"/>
              <w:start w:w="120" w:type="dxa"/>
              <w:bottom w:w="100" w:type="dxa"/>
              <w:end w:w="120" w:type="dxa"/>
            </w:tcMar>
          </w:tcPr>
          <w:p>
            <w:pPr>
              <w:spacing w:after="0"/>
            </w:pPr>
            <w:r/>
            <w:r>
              <w:rPr>
                <w:rFonts w:ascii="Calibri" w:hAnsi="Calibri"/>
                <w:b w:val="0"/>
                <w:color w:val="1F2937"/>
                <w:sz w:val="17"/>
              </w:rPr>
              <w:t>User validation and operational readiness</w:t>
            </w:r>
          </w:p>
        </w:tc>
        <w:tc>
          <w:tcPr>
            <w:tcW w:type="dxa" w:w="1944"/>
            <w:vAlign w:val="center"/>
            <w:tcMar>
              <w:top w:w="100" w:type="dxa"/>
              <w:start w:w="120" w:type="dxa"/>
              <w:bottom w:w="100" w:type="dxa"/>
              <w:end w:w="120" w:type="dxa"/>
            </w:tcMar>
          </w:tcPr>
          <w:p>
            <w:pPr>
              <w:spacing w:after="0"/>
            </w:pPr>
            <w:r/>
            <w:r>
              <w:rPr>
                <w:rFonts w:ascii="Calibri" w:hAnsi="Calibri"/>
                <w:b w:val="0"/>
                <w:color w:val="1F2937"/>
                <w:sz w:val="17"/>
              </w:rPr>
              <w:t>Rowan Mercer</w:t>
            </w:r>
          </w:p>
        </w:tc>
        <w:tc>
          <w:tcPr>
            <w:tcW w:type="dxa" w:w="2808"/>
            <w:vAlign w:val="center"/>
            <w:tcMar>
              <w:top w:w="100" w:type="dxa"/>
              <w:start w:w="120" w:type="dxa"/>
              <w:bottom w:w="100" w:type="dxa"/>
              <w:end w:w="120" w:type="dxa"/>
            </w:tcMar>
          </w:tcPr>
          <w:p>
            <w:pPr>
              <w:spacing w:after="0"/>
            </w:pPr>
            <w:r/>
            <w:r>
              <w:rPr>
                <w:rFonts w:ascii="Calibri" w:hAnsi="Calibri"/>
                <w:b w:val="0"/>
                <w:color w:val="1F2937"/>
                <w:sz w:val="17"/>
              </w:rPr>
              <w:t>Acceptance criteria signed off</w:t>
            </w:r>
          </w:p>
        </w:tc>
      </w:tr>
      <w:tr>
        <w:tc>
          <w:tcPr>
            <w:tcW w:type="dxa" w:w="1152"/>
            <w:vAlign w:val="center"/>
            <w:tcMar>
              <w:top w:w="100" w:type="dxa"/>
              <w:start w:w="120" w:type="dxa"/>
              <w:bottom w:w="100" w:type="dxa"/>
              <w:end w:w="120" w:type="dxa"/>
            </w:tcMar>
          </w:tcPr>
          <w:p>
            <w:pPr>
              <w:spacing w:after="0"/>
            </w:pPr>
            <w:r/>
            <w:r>
              <w:rPr>
                <w:rFonts w:ascii="Calibri" w:hAnsi="Calibri"/>
                <w:b w:val="0"/>
                <w:color w:val="1F2937"/>
                <w:sz w:val="17"/>
              </w:rPr>
              <w:t>11-12</w:t>
            </w:r>
          </w:p>
        </w:tc>
        <w:tc>
          <w:tcPr>
            <w:tcW w:type="dxa" w:w="3456"/>
            <w:vAlign w:val="center"/>
            <w:tcMar>
              <w:top w:w="100" w:type="dxa"/>
              <w:start w:w="120" w:type="dxa"/>
              <w:bottom w:w="100" w:type="dxa"/>
              <w:end w:w="120" w:type="dxa"/>
            </w:tcMar>
          </w:tcPr>
          <w:p>
            <w:pPr>
              <w:spacing w:after="0"/>
            </w:pPr>
            <w:r/>
            <w:r>
              <w:rPr>
                <w:rFonts w:ascii="Calibri" w:hAnsi="Calibri"/>
                <w:b w:val="0"/>
                <w:color w:val="1F2937"/>
                <w:sz w:val="17"/>
              </w:rPr>
              <w:t>Production transition and handoff</w:t>
            </w:r>
          </w:p>
        </w:tc>
        <w:tc>
          <w:tcPr>
            <w:tcW w:type="dxa" w:w="1944"/>
            <w:vAlign w:val="center"/>
            <w:tcMar>
              <w:top w:w="100" w:type="dxa"/>
              <w:start w:w="120" w:type="dxa"/>
              <w:bottom w:w="100" w:type="dxa"/>
              <w:end w:w="120" w:type="dxa"/>
            </w:tcMar>
          </w:tcPr>
          <w:p>
            <w:pPr>
              <w:spacing w:after="0"/>
            </w:pPr>
            <w:r/>
            <w:r>
              <w:rPr>
                <w:rFonts w:ascii="Calibri" w:hAnsi="Calibri"/>
                <w:b w:val="0"/>
                <w:color w:val="1F2937"/>
                <w:sz w:val="17"/>
              </w:rPr>
              <w:t>Elliot Park</w:t>
            </w:r>
          </w:p>
        </w:tc>
        <w:tc>
          <w:tcPr>
            <w:tcW w:type="dxa" w:w="2808"/>
            <w:vAlign w:val="center"/>
            <w:tcMar>
              <w:top w:w="100" w:type="dxa"/>
              <w:start w:w="120" w:type="dxa"/>
              <w:bottom w:w="100" w:type="dxa"/>
              <w:end w:w="120" w:type="dxa"/>
            </w:tcMar>
          </w:tcPr>
          <w:p>
            <w:pPr>
              <w:spacing w:after="0"/>
            </w:pPr>
            <w:r/>
            <w:r>
              <w:rPr>
                <w:rFonts w:ascii="Calibri" w:hAnsi="Calibri"/>
                <w:b w:val="0"/>
                <w:color w:val="1F2937"/>
                <w:sz w:val="17"/>
              </w:rPr>
              <w:t>Go-live decision; deferred items tracked</w:t>
            </w:r>
          </w:p>
        </w:tc>
      </w:tr>
    </w:tbl>
    <w:p>
      <w:pPr>
        <w:pStyle w:val="Heading1"/>
      </w:pPr>
      <w:r>
        <w:t>4. Acceptance and change control</w:t>
      </w:r>
    </w:p>
    <w:p>
      <w:r>
        <w:t>Acceptance is based on agreed functional scenarios, approved security design, documented support path, and production readiness review. Scope changes are recorded in the requirements tracker, assessed for schedule and commercial impact, and approved by Rowan Mercer and the designated Account Alpha owner before execution. See the Commercial Response for approved funding and the Security Response for scoped controls.</w:t>
      </w:r>
    </w:p>
    <w:p>
      <w:pPr>
        <w:pStyle w:val="Heading1"/>
      </w:pPr>
      <w:r>
        <w:t>5. Owner confirmation</w:t>
      </w:r>
    </w:p>
    <w:p>
      <w:r>
        <w:t>Owner: Elliot Park. This fictional response is internally coordinated for Account Alpha and is intended to be read with the final submission PDF, capability matrix, executive summary, and requirements tracker.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Northstar Cloud - Fictional procurement response | 17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Northstar Cloud | Account Alpha |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F6BF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F6BF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