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color w:val="18A999"/>
          <w:sz w:val="24"/>
        </w:rPr>
        <w:t>NORTHSTAR CLOUD</w:t>
      </w:r>
    </w:p>
    <w:p>
      <w:pPr>
        <w:spacing w:after="80"/>
        <w:jc w:val="center"/>
      </w:pPr>
      <w:r>
        <w:rPr>
          <w:b/>
          <w:color w:val="0B1F3A"/>
          <w:sz w:val="48"/>
        </w:rPr>
        <w:t>Commercial Response</w:t>
      </w:r>
    </w:p>
    <w:p>
      <w:pPr>
        <w:spacing w:after="320"/>
        <w:jc w:val="center"/>
      </w:pPr>
      <w:r>
        <w:rPr>
          <w:color w:val="4B5563"/>
          <w:sz w:val="24"/>
        </w:rPr>
        <w:t>Account Alpha renewal and procurement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3096"/>
            <w:shd w:fill="F4F6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Prepared for</w:t>
            </w:r>
          </w:p>
        </w:tc>
        <w:tc>
          <w:tcPr>
            <w:tcW w:type="dxa" w:w="3096"/>
            <w:shd w:fill="F4F6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Prepared by</w:t>
            </w:r>
          </w:p>
        </w:tc>
        <w:tc>
          <w:tcPr>
            <w:tcW w:type="dxa" w:w="3168"/>
            <w:shd w:fill="F4F6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Issue date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Account Alpha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Rowan Mercer, Account Executive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17 July 2026</w:t>
            </w:r>
          </w:p>
        </w:tc>
      </w:tr>
    </w:tbl>
    <w:p>
      <w:pPr>
        <w:pStyle w:val="Heading1"/>
      </w:pPr>
      <w:r>
        <w:t>1. Response position</w:t>
      </w:r>
    </w:p>
    <w:p>
      <w:r>
        <w:t>Northstar Cloud proposes a one-year renewal term with an approved annual total of USD 248,000. This commercial response clarifies the component allocation, invoicing assumptions, approval path, and exceptions that require mutual written agreement.</w:t>
      </w:r>
    </w:p>
    <w:p>
      <w:pPr>
        <w:pStyle w:val="Heading1"/>
      </w:pPr>
      <w:r>
        <w:t>2. Shared engagement anchors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4F6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Anchor</w:t>
            </w:r>
          </w:p>
        </w:tc>
        <w:tc>
          <w:tcPr>
            <w:tcW w:type="dxa" w:w="3528"/>
            <w:shd w:fill="F4F6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Commitment</w:t>
            </w:r>
          </w:p>
        </w:tc>
        <w:tc>
          <w:tcPr>
            <w:tcW w:type="dxa" w:w="1728"/>
            <w:shd w:fill="F4F6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Owner</w:t>
            </w:r>
          </w:p>
        </w:tc>
        <w:tc>
          <w:tcPr>
            <w:tcW w:type="dxa" w:w="2160"/>
            <w:shd w:fill="F4F6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Exception / cross-reference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Term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18 Jul 2026 - 17 Jul 2027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Rowan Mercer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Commercial Response §2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Annual amount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USD 248,000 approved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Priya Noland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Commercial Response §3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Service objective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Internal 99.95% service objective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Elliot Park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Security Response §3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Customer contacts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Avery Sloan and Morgan Hale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Rowan Mercer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Implementation Response §2</w:t>
            </w:r>
          </w:p>
        </w:tc>
      </w:tr>
    </w:tbl>
    <w:p>
      <w:pPr>
        <w:pStyle w:val="Heading1"/>
      </w:pPr>
      <w:r>
        <w:t>3. Approved annual components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shd w:fill="F4F6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Component</w:t>
            </w:r>
          </w:p>
        </w:tc>
        <w:tc>
          <w:tcPr>
            <w:tcW w:type="dxa" w:w="1656"/>
            <w:shd w:fill="F4F6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Annual USD</w:t>
            </w:r>
          </w:p>
        </w:tc>
        <w:tc>
          <w:tcPr>
            <w:tcW w:type="dxa" w:w="3168"/>
            <w:shd w:fill="F4F6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Purpose</w:t>
            </w:r>
          </w:p>
        </w:tc>
        <w:tc>
          <w:tcPr>
            <w:tcW w:type="dxa" w:w="2232"/>
            <w:shd w:fill="F4F6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Owner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Core platform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210,000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Renewal platform entitlement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Priya Noland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Implementation services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24,000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12-week implementation plan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Elliot Park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Success services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14,000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Governance and adoption support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Rowan Mercer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Total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248,000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Approved annual amount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Priya Noland</w:t>
            </w:r>
          </w:p>
        </w:tc>
      </w:tr>
    </w:tbl>
    <w:p>
      <w:pPr>
        <w:pStyle w:val="Heading1"/>
      </w:pPr>
      <w:r>
        <w:t>4. Commercial assumptions and exceptions</w:t>
      </w:r>
    </w:p>
    <w:p>
      <w:r>
        <w:t>The stated amount assumes one continuous term from 18 July 2026 through 17 July 2027 and scope alignment to the implementation response. Taxes, customer-requested scope additions, and third-party costs are excluded unless included in a mutually executed order document. Invoicing cadence, payment terms, and any legal terms are subject to the final executed agreement. See the requirements tracker for open commercial clarifications.</w:t>
      </w:r>
    </w:p>
    <w:p>
      <w:pPr>
        <w:pStyle w:val="Heading1"/>
      </w:pPr>
      <w:r>
        <w:t>5. Owner confirmation</w:t>
      </w:r>
    </w:p>
    <w:p>
      <w:r>
        <w:t>Owner: Priya Noland. This fictional response is internally coordinated for Account Alpha and is intended to be read with the final submission PDF, capability matrix, executive summary, and requirements tracker.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Northstar Cloud - Fictional procurement response | 17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Northstar Cloud | Account Alpha | Commercial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F6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6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