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00" w:lineRule="auto"/>
      </w:pPr>
      <w:r>
        <w:rPr>
          <w:rFonts w:ascii="Calibri" w:hAnsi="Calibri"/>
          <w:b/>
          <w:color w:val="B7791F"/>
          <w:sz w:val="20"/>
        </w:rPr>
        <w:t>CUSTOMER VISIT DEBRIEF</w:t>
      </w:r>
    </w:p>
    <w:p>
      <w:pPr>
        <w:spacing w:after="80" w:line="300" w:lineRule="auto"/>
      </w:pPr>
      <w:r>
        <w:rPr>
          <w:rFonts w:ascii="Calibri" w:hAnsi="Calibri"/>
          <w:b/>
          <w:color w:val="1F4D78"/>
          <w:sz w:val="48"/>
        </w:rPr>
        <w:t>Account Alpha | Onsite renewal and adoption workshop</w:t>
      </w:r>
    </w:p>
    <w:p>
      <w:pPr>
        <w:spacing w:after="320" w:line="300" w:lineRule="auto"/>
      </w:pPr>
      <w:r>
        <w:rPr>
          <w:rFonts w:ascii="Calibri" w:hAnsi="Calibri"/>
          <w:b w:val="0"/>
          <w:color w:val="4B5563"/>
          <w:sz w:val="22"/>
        </w:rPr>
        <w:t>Prepared by Rowan Mercer, Account Executive | Northstar Cloud | 17 July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6"/>
              </w:rPr>
              <w:t>Customer</w:t>
              <w:br/>
            </w:r>
            <w:r>
              <w:rPr>
                <w:rFonts w:ascii="Calibri" w:hAnsi="Calibri"/>
                <w:b w:val="0"/>
                <w:color w:val="1F4D78"/>
                <w:sz w:val="20"/>
              </w:rPr>
              <w:t>Account Alpha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6"/>
              </w:rPr>
              <w:t>Location</w:t>
              <w:br/>
            </w:r>
            <w:r>
              <w:rPr>
                <w:rFonts w:ascii="Calibri" w:hAnsi="Calibri"/>
                <w:b w:val="0"/>
                <w:color w:val="1F4D78"/>
                <w:sz w:val="20"/>
              </w:rPr>
              <w:t>Account Alpha Collaboration Center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6"/>
              </w:rPr>
              <w:t>Attendees</w:t>
              <w:br/>
            </w:r>
            <w:r>
              <w:rPr>
                <w:rFonts w:ascii="Calibri" w:hAnsi="Calibri"/>
                <w:b w:val="0"/>
                <w:color w:val="1F4D78"/>
                <w:sz w:val="20"/>
              </w:rPr>
              <w:t>Avery Sloan; Morgan Hale; Rowan Mercer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16"/>
              </w:rPr>
              <w:t>Renewal term</w:t>
              <w:br/>
            </w:r>
            <w:r>
              <w:rPr>
                <w:rFonts w:ascii="Calibri" w:hAnsi="Calibri"/>
                <w:b w:val="0"/>
                <w:color w:val="1F4D78"/>
                <w:sz w:val="20"/>
              </w:rPr>
              <w:t>18 Jul 2026 - 17 Jul 2027</w:t>
            </w:r>
          </w:p>
        </w:tc>
      </w:tr>
    </w:tbl>
    <w:p>
      <w:pPr>
        <w:pStyle w:val="Heading1"/>
      </w:pPr>
      <w:r>
        <w:t>Outcome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8"/>
              </w:rPr>
              <w:t>Approved renewal: USD 248,000</w:t>
            </w:r>
            <w:r>
              <w:rPr>
                <w:rFonts w:ascii="Calibri" w:hAnsi="Calibri"/>
                <w:b w:val="0"/>
                <w:color w:val="1F4D78"/>
                <w:sz w:val="20"/>
              </w:rPr>
              <w:t xml:space="preserve">  |  Enterprise USD 210,000 + Success Plus USD 24,000 + Data Connect USD 14,000</w:t>
            </w:r>
          </w:p>
        </w:tc>
      </w:tr>
    </w:tbl>
    <w:p>
      <w:pPr>
        <w:pStyle w:val="Heading1"/>
      </w:pPr>
      <w:r>
        <w:t>What the onsite day resolved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Renewal scope and commercial total approved for the 12-month term.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Workshop aligned the adoption path around focused enablement and measurable team usage.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color w:val="000000"/>
          <w:sz w:val="22"/>
        </w:rPr>
        <w:t>Data Connect confirmed as the integration workstream to sequence after the enablement plan.</w:t>
      </w:r>
    </w:p>
    <w:p>
      <w:pPr>
        <w:pStyle w:val="Heading1"/>
      </w:pPr>
      <w:r>
        <w:t>Workshop outputs</w:t>
      </w:r>
    </w:p>
    <w:p>
      <w:pPr>
        <w:pStyle w:val="Heading2"/>
      </w:pPr>
      <w:r>
        <w:t>Adoption path</w:t>
      </w:r>
    </w:p>
    <w:p>
      <w:pPr>
        <w:spacing w:after="120" w:line="300" w:lineRule="auto"/>
      </w:pPr>
      <w:r>
        <w:rPr>
          <w:rFonts w:ascii="Calibri" w:hAnsi="Calibri"/>
          <w:b w:val="0"/>
          <w:color w:val="000000"/>
          <w:sz w:val="22"/>
        </w:rPr>
        <w:t>Start with role-based enablement, identify power-user champions, and review uptake in the first operating checkpoint.</w:t>
      </w:r>
    </w:p>
    <w:p>
      <w:pPr>
        <w:pStyle w:val="Heading2"/>
      </w:pPr>
      <w:r>
        <w:t>Data Connect</w:t>
      </w:r>
    </w:p>
    <w:p>
      <w:pPr>
        <w:spacing w:after="120" w:line="300" w:lineRule="auto"/>
      </w:pPr>
      <w:r>
        <w:rPr>
          <w:rFonts w:ascii="Calibri" w:hAnsi="Calibri"/>
          <w:b w:val="0"/>
          <w:color w:val="000000"/>
          <w:sz w:val="22"/>
        </w:rPr>
        <w:t>Document the target data flow, name the initial use case, and confirm an implementation-ready handoff.</w:t>
      </w:r>
    </w:p>
    <w:p>
      <w:pPr>
        <w:pStyle w:val="Heading2"/>
      </w:pPr>
      <w:r>
        <w:t>Decision record</w:t>
      </w:r>
    </w:p>
    <w:p>
      <w:pPr>
        <w:spacing w:after="120" w:line="300" w:lineRule="auto"/>
      </w:pPr>
      <w:r>
        <w:rPr>
          <w:rFonts w:ascii="Calibri" w:hAnsi="Calibri"/>
          <w:b w:val="0"/>
          <w:color w:val="000000"/>
          <w:sz w:val="22"/>
        </w:rPr>
        <w:t>Proceed with the approved renewal package and coordinate the transition from onsite decisions to the account plan.</w:t>
      </w:r>
    </w:p>
    <w:p>
      <w:pPr>
        <w:pStyle w:val="Heading1"/>
      </w:pPr>
      <w:r>
        <w:t>Follow-up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560"/>
        <w:gridCol w:w="240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Owner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Next action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Target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Rowan Mercer</w:t>
            </w:r>
          </w:p>
        </w:tc>
        <w:tc>
          <w:tcPr>
            <w:tcW w:type="dxa" w:w="456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Send concise recap and enablement-plan outline.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Next business day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Avery Sloan</w:t>
            </w:r>
          </w:p>
        </w:tc>
        <w:tc>
          <w:tcPr>
            <w:tcW w:type="dxa" w:w="456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Confirm champion group and enablement participants.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Following week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Morgan Hale</w:t>
            </w:r>
          </w:p>
        </w:tc>
        <w:tc>
          <w:tcPr>
            <w:tcW w:type="dxa" w:w="456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Validate first Data Connect use case and handoff inputs.</w:t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Following week</w:t>
            </w:r>
          </w:p>
        </w:tc>
      </w:tr>
    </w:tbl>
    <w:p>
      <w:pPr>
        <w:pStyle w:val="Heading1"/>
      </w:pPr>
      <w:r>
        <w:t>Source notes</w:t>
      </w:r>
    </w:p>
    <w:p>
      <w:pPr>
        <w:spacing w:after="120" w:line="300" w:lineRule="auto"/>
      </w:pPr>
      <w:r>
        <w:rPr>
          <w:rFonts w:ascii="Calibri" w:hAnsi="Calibri"/>
          <w:b w:val="0"/>
          <w:color w:val="4B5563"/>
          <w:sz w:val="20"/>
        </w:rPr>
        <w:t>This debrief consolidates the onsite meeting notes, workshop whiteboard, and same-day fictional travel documentation. It contains no customer system data, credentials, or external-contact details.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6"/>
      </w:rPr>
      <w:t>Internal account record  |  17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280"/>
        <w:sz w:val="16"/>
      </w:rPr>
      <w:t>NORTHSTAR CLOUD  |  CUSTOMER VISIT DEBRIEF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Alpha Customer Visit Debrief</dc:title>
  <dc:subject>Fictional onsite renewal and workshop record</dc:subject>
  <dc:creator>Northstar Cloud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