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60"/>
      </ns0:pPr>
      <ns0:r>
        <ns0:rPr>
          <ns0:b/>
          <ns0:color ns0:val="0B2545"/>
          <ns0:sz ns0:val="40"/>
        </ns0:rPr>
        <ns0:t>AUDIT REQUEST REVIEW</ns0:t>
      </ns0:r>
    </ns0:p>
    <ns0:p>
      <ns0:r>
        <ns0:rPr>
          <ns0:i/>
        </ns0:rPr>
        <ns0:t>p03-full-000693 | Evidence Status | 2026 Q3 review period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Assigned review period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Canonical review type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status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Audit request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AR-260713-027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AC-27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evidence topic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reviewer attestation note</ns0:t>
            </ns0:r>
          </ns0:p>
        </ns0:tc>
      </ns0:tr>
      <ns0:tr>
        <ns0:tc>
          <ns0:tcPr>
            <ns0:tcW ns0:type="dxa" ns0:w="4680"/>
            <ns0:vAlign ns0:val="center"/>
            <ns0:shd ns0:fill="F2F4F7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foundation</ns0:t>
            </ns0:r>
          </ns0:p>
        </ns0:tc>
        <ns0:tc>
          <ns0:tcPr>
            <ns0:tcW ns0:type="dxa" ns0:w="468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p03-full-001378 (2026-07-14 foundation period)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evidence status review is assigned to the 2026 Q3 review period and documents a bounded response to AR-260713-027 for Aegis Control AC-27. It uses the assigned foundation record (p03-full-001378, source topic reviewer attestation note, source period 2026-07-14) as fact authority; source facts are not relabeled as this review's canonical type or assigned period. It does not represent access to any live audit system.</ns0:t>
      </ns0:r>
    </ns0:p>
    <ns0:p>
      <ns0:pPr>
        <ns0:pStyle ns0:val="Heading1"/>
      </ns0:pPr>
      <ns0:r>
        <ns0:t>Evidence status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340"/>
        <ns0:gridCol ns0:w="2340"/>
        <ns0:gridCol ns0:w="2340"/>
        <ns0:gridCol ns0:w="2340"/>
      </ns0:tblGrid>
      <ns0:tr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Population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Timely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Completion</ns0:t>
            </ns0:r>
          </ns0:p>
        </ns0:tc>
        <ns0:tc>
          <ns0:tcPr>
            <ns0:tcW ns0:type="dxa" ns0:w="2340"/>
            <ns0:vAlign ns0:val="center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Verified items</ns0:t>
            </ns0:r>
          </ns0:p>
        </ns0:tc>
      </ns0:tr>
      <ns0:tr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47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48</ns0:t>
            </ns0:r>
          </ns0:p>
        </ns0:tc>
        <ns0:tc>
          <ns0:tcPr>
            <ns0:tcW ns0:type="dxa" ns0:w="2340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24 of 24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evidence set remains bounded to 24 synthetic items. RISK-031 is recorded as residual Medium after compensating review. The review lens is response completeness; workflow stage: retention disposition. Preparer and reviewer roles remain separated for any exception disposition.</ns0:t>
      </ns0:r>
    </ns0:p>
    <ns0:p>
      <ns0:pPr>
        <ns0:pStyle ns0:val="Heading1"/>
      </ns0:pPr>
      <ns0:r>
        <ns0:t>Follow-up record</ns0:t>
      </ns0:r>
    </ns0:p>
    <ns0:p>
      <ns0:pPr>
        <ns0:pStyle ns0:val="ListBullet"/>
      </ns0:pPr>
      <ns0:r>
        <ns0:t>Confirm the foundation evidence reference EV-184-07 is linked to AR-260713-027.</ns0:t>
      </ns0:r>
    </ns0:p>
    <ns0:p>
      <ns0:pPr>
        <ns0:pStyle ns0:val="ListBullet"/>
      </ns0:pPr>
      <ns0:r>
        <ns0:t>Retain the bounded package under the synthetic 18-month evidence minimum.</ns0:t>
      </ns0:r>
    </ns0:p>
    <ns0:p>
      <ns0:pPr>
        <ns0:pStyle ns0:val="ListBullet"/>
      </ns0:pPr>
      <ns0:r>
        <ns0:t>Record that physical-artifact QA makes no claim about Kio indexing, history, chunks, search,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