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60"/>
      </ns0:pPr>
      <ns0:r>
        <ns0:rPr>
          <ns0:b/>
          <ns0:color ns0:val="0B2545"/>
          <ns0:sz ns0:val="40"/>
        </ns0:rPr>
        <ns0:t>AUDIT REQUEST REVIEW</ns0:t>
      </ns0:r>
    </ns0:p>
    <ns0:p>
      <ns0:r>
        <ns0:rPr>
          <ns0:i/>
        </ns0:rPr>
        <ns0:t>p03-full-008711 | Retention Disposition | 2026 Q3 review period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Assigned review period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 Q3 review period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Canonical review type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retention disposition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Audit request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AR-260713-027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AC-27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evidence topic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retention disposition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foundation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p03-full-001467 (2026 Q3 foundation period)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retention disposition review is assigned to the 2026 Q3 review period and documents a bounded response to AR-260713-027 for Aegis Control AC-27. It uses the assigned foundation record (p03-full-001467, source topic retention disposition, source review period: 2026 Q3) as fact authority; source facts are not relabeled as this review's canonical type or assigned period. It does not represent access to any live audit system.</ns0:t>
      </ns0:r>
    </ns0:p>
    <ns0:p>
      <ns0:pPr>
        <ns0:pStyle ns0:val="Heading1"/>
      </ns0:pPr>
      <ns0:r>
        <ns0:t>Evidence status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340"/>
        <ns0:gridCol ns0:w="2340"/>
        <ns0:gridCol ns0:w="2340"/>
        <ns0:gridCol ns0:w="2340"/>
      </ns0:tblGrid>
      <ns0:tr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Population</ns0:t>
            </ns0:r>
          </ns0:p>
        </ns0:tc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Timely</ns0:t>
            </ns0:r>
          </ns0:p>
        </ns0:tc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Completion</ns0:t>
            </ns0:r>
          </ns0:p>
        </ns0:tc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Verified items</ns0:t>
            </ns0:r>
          </ns0:p>
        </ns0:tc>
      </ns0:tr>
      <ns0:tr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48</ns0:t>
            </ns0:r>
          </ns0:p>
        </ns0:tc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47</ns0:t>
            </ns0:r>
          </ns0:p>
        </ns0:tc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48</ns0:t>
            </ns0:r>
          </ns0:p>
        </ns0:tc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24 of 24</ns0:t>
            </ns0:r>
          </ns0:p>
        </ns0:tc>
      </ns0:tr>
    </ns0:tbl>
    <ns0:p>
      <ns0:pPr>
        <ns0:pStyle ns0:val="Heading1"/>
      </ns0:pPr>
      <ns0:r>
        <ns0:t>Assessment and disposition</ns0:t>
      </ns0:r>
    </ns0:p>
    <ns0:p>
      <ns0:r>
        <ns0:t>The evidence set remains bounded to 24 synthetic items. RISK-031 is recorded as residual Medium after compensating review. The review lens is approval separation; workflow stage: reviewer confirmation. Preparer and reviewer roles remain separated for any exception disposition.</ns0:t>
      </ns0:r>
    </ns0:p>
    <ns0:p>
      <ns0:pPr>
        <ns0:pStyle ns0:val="Heading1"/>
      </ns0:pPr>
      <ns0:r>
        <ns0:t>Follow-up record</ns0:t>
      </ns0:r>
    </ns0:p>
    <ns0:p>
      <ns0:pPr>
        <ns0:pStyle ns0:val="ListBullet"/>
      </ns0:pPr>
      <ns0:r>
        <ns0:t>Confirm the foundation evidence reference EV-184-01 is linked to AR-260713-027.</ns0:t>
      </ns0:r>
    </ns0:p>
    <ns0:p>
      <ns0:pPr>
        <ns0:pStyle ns0:val="ListBullet"/>
      </ns0:pPr>
      <ns0:r>
        <ns0:t>Retain the bounded package under the synthetic 18-month evidence minimum.</ns0:t>
      </ns0:r>
    </ns0:p>
    <ns0:p>
      <ns0:pPr>
        <ns0:pStyle ns0:val="ListBullet"/>
      </ns0:pPr>
      <ns0:r>
        <ns0:t>Record that physical-artifact QA makes no claim about Kio indexing, history, chunks, search,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Controlled synthetic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