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B2545"/>
          <w:sz w:val="40"/>
        </w:rPr>
        <w:t>AC-27 Evidence Review Working Brief</w:t>
      </w:r>
    </w:p>
    <w:p>
      <w:pPr>
        <w:spacing w:after="100"/>
      </w:pPr>
      <w:r>
        <w:rPr>
          <w:color w:val="595959"/>
          <w:sz w:val="20"/>
        </w:rPr>
        <w:t>Assigned review date / period: 2026-07-20 | Dependency source date: 2026-07-14 | p03-full-006711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p03-full-006711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Assigned review date / period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2026-07-20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Dependency source date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2026-07-14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p03-full-000923 / EV-184-12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Case and risk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CASE-260713-184 / RISK-031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Cobalt Harbor Systems / AC-27</w:t>
            </w:r>
          </w:p>
        </w:tc>
      </w:tr>
    </w:tbl>
    <w:p>
      <w:pPr>
        <w:pStyle w:val="Heading1"/>
      </w:pPr>
      <w:r>
        <w:t>Assessment purpose</w:t>
      </w:r>
    </w:p>
    <w:p>
      <w:r>
        <w:t>This synthetic working brief is assigned to the 2026-07-20 review context and evaluates the bounded evidence-index dependency record supplied by p03-full-000923 (source date 2026-07-14). It supports the Aegis Control AC-27 evidence chain for evidence set 184 and does not establish any Kio indexing, history, search, or performance claim.</w:t>
      </w:r>
    </w:p>
    <w:p>
      <w:pPr>
        <w:pStyle w:val="Heading1"/>
      </w:pPr>
      <w:r>
        <w:t>Evidence observations</w:t>
      </w:r>
    </w:p>
    <w:p>
      <w:pPr>
        <w:pStyle w:val="ListBullet"/>
      </w:pPr>
      <w:r>
        <w:t>Population integrity: 48 synthetic privileged-role records were reviewed; 47 were timely before the documented compensating review.</w:t>
      </w:r>
    </w:p>
    <w:p>
      <w:pPr>
        <w:pStyle w:val="ListBullet"/>
      </w:pPr>
      <w:r>
        <w:t>Completion record: final completion is 100.0% with 24/24 required synthetic evidence items verified.</w:t>
      </w:r>
    </w:p>
    <w:p>
      <w:pPr>
        <w:pStyle w:val="ListBullet"/>
      </w:pPr>
      <w:r>
        <w:t>Exception handling: RISK-031 remains residual Medium after the bounded remediation; preparer and reviewer roles remain separated for exception disposition.</w:t>
      </w:r>
    </w:p>
    <w:p>
      <w:pPr>
        <w:pStyle w:val="Heading1"/>
      </w:pPr>
      <w:r>
        <w:t>Evidence-chain decision</w:t>
      </w:r>
    </w:p>
    <w:p>
      <w:r>
        <w:t>The review retains EV-184-12 as a source reference and preserves the supplied review lane PRIV-12. The record is suitable for internal evidence coordination only; it does not describe an intrusion, customer data, or live system access.</w:t>
      </w:r>
    </w:p>
    <w:p>
      <w:pPr>
        <w:pStyle w:val="Heading1"/>
      </w:pPr>
      <w:r>
        <w:t>Reviewer checklist</w:t>
      </w:r>
    </w:p>
    <w:p>
      <w:pPr>
        <w:pStyle w:val="ListNumber"/>
      </w:pPr>
      <w:r>
        <w:t>Confirm the evidence identifier and review date against the source record.</w:t>
      </w:r>
    </w:p>
    <w:p>
      <w:pPr>
        <w:pStyle w:val="ListNumber"/>
      </w:pPr>
      <w:r>
        <w:t>Confirm the AC-27 dual-role approval boundary for any exception disposition.</w:t>
      </w:r>
    </w:p>
    <w:p>
      <w:pPr>
        <w:pStyle w:val="ListNumber"/>
      </w:pPr>
      <w:r>
        <w:t>Retain the synthetic record under the 18-month corpus retention fact.</w:t>
      </w:r>
    </w:p>
    <w:p>
      <w:pPr>
        <w:pStyle w:val="ListNumber"/>
      </w:pPr>
      <w:r>
        <w:t>Queue residual-risk follow-up without changing the historical attestation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