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Access Governance | Review period: 2026-07-13</w:t>
      </w:r>
    </w:p>
    <w:p>
      <w:r>
        <w:rPr>
          <w:b/>
        </w:rPr>
        <w:t xml:space="preserve">Decision summary. </w:t>
      </w:r>
      <w:r>
        <w:t>This synthetic review uses the scope-local evidence source p03-full-001308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intake traceability: Confirm that the policy record preserves a stable evidence-chain link from intake through disposition.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p03-full-004168 | Dependency: p03-full-001308 | Synthetic internal governance evidence</w:t>
      </w:r>
    </w:p>
    <w:p>
      <w:pPr>
        <w:pStyle w:val="Heading1"/>
      </w:pPr>
      <w:r>
        <w:t>Date provenance (separate review and source fields)</w:t>
      </w:r>
    </w:p>
    <w:p>
      <w:r>
        <w:t>Own assigned date/period: 2026-07-13. This labels the review artifact itself and does not alter the source record.</w:t>
      </w:r>
    </w:p>
    <w:p>
      <w:r>
        <w:t>Source dependency date/period: 2026-07-14. This is drawn from direct dependency p03-full-001308 (compliance/policies/foundation/data/2026-07-14-policy-access-governance-evidence-metrics-csv-s001308.csv) and remains distinct from the assigned review date/period.</w:t>
      </w:r>
    </w:p>
    <w:p>
      <w:r>
        <w:t>The review remains a bounded synthetic governance record; no live-system, audit-access, or Kio readiness claim is made.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p03-full-004168 is recorded against source p03-src-004168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p03-full-001308 (source p03-src-001308);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p03-full-004168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