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Evidence Completeness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p03-full-009032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2026-07-13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2026-07-15-working-notes-evidence-triage-evidence-metrics-csv-s003024.csv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completeness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test whether every dependency field is represented in the review record.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case.case-260713-184 — CASE-260713-184 is the synthetic evidence intake case for evidence set 184, not a real incident.</ns0:t>
      </ns0:r>
    </ns0:p>
    <ns0:p>
      <ns0:pPr>
        <ns0:pStyle ns0:val="ListBullet"/>
      </ns0:pPr>
      <ns0:r>
        <ns0:t>date.2026-07-15 — Control owner validates the remediation plan and retention disposition.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2026-07-15-working-notes-evidence-triage-evidence-metrics-csv-s003024.csv; its bounded fields are reviewed as evidence for evidence completeness.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case.case-260713-184: CASE-260713-184 is the synthetic evidence intake case for evidence set 184, not a real incident.; date.2026-07-15: Control owner validates the remediation plan and retention disposition.</ns0:t>
      </ns0:r>
    </ns0:p>
    <ns0:p>
      <ns0:pPr>
        <ns0:pStyle ns0:val="Heading2"/>
      </ns0:pPr>
      <ns0:r>
        <ns0:t>Action</ns0:t>
      </ns0:r>
    </ns0:p>
    <ns0:p>
      <ns0:r>
        <ns0:t>Security GRC records the evidence completeness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evidence completeness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case.case-260713-184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 review date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evidence completeness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p03-full-003024 / 2026-07-15-working-notes-evidence-triage-evidence-metrics-csv-s003024.csv.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