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Closure Follow-Up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p03-full-003334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2026-q3-working-notes-review-draft-evidence-metrics-csv-s003707.csv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closure follow-up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identify the bounded closure check that follows from the recorded facts.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period.2026-q3 — Governance planning period from 2026-07-01 through 2026-09-30.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2026-q3-working-notes-review-draft-evidence-metrics-csv-s003707.csv; its bounded fields are reviewed as evidence for closure follow-up.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period.2026-q3: Governance planning period from 2026-07-01 through 2026-09-30.</ns0:t>
      </ns0:r>
    </ns0:p>
    <ns0:p>
      <ns0:pPr>
        <ns0:pStyle ns0:val="Heading2"/>
      </ns0:pPr>
      <ns0:r>
        <ns0:t>Action</ns0:t>
      </ns0:r>
    </ns0:p>
    <ns0:p>
      <ns0:r>
        <ns0:t>Security GRC records a closure follow-up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closure follow-up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 Q3 review period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closure follow-up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p03-full-003707 / 2026-q3-working-notes-review-draft-evidence-metrics-csv-s003707.csv.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